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F52" w:rsidRDefault="000B4F52" w:rsidP="00B31D1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0B4F52" w:rsidRDefault="000B4F52" w:rsidP="00B31D1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0B4F52" w:rsidRDefault="000B4F52" w:rsidP="00B31D1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0B4F52" w:rsidRDefault="000B4F52" w:rsidP="00B31D1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0B4F52" w:rsidRDefault="000B4F52" w:rsidP="00B31D1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0B4F52" w:rsidRDefault="000B4F52" w:rsidP="00B31D1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0B4F52" w:rsidRDefault="000B4F52" w:rsidP="00B371BB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0B4F52" w:rsidRDefault="000B4F52" w:rsidP="00B371BB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0B4F52" w:rsidRDefault="000B4F52" w:rsidP="00B371BB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0B4F52" w:rsidRDefault="000B4F52" w:rsidP="00B371BB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0B4F52" w:rsidRDefault="000B4F52" w:rsidP="00B371BB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0B4F52" w:rsidRDefault="000B4F52" w:rsidP="00B31D14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B371BB">
        <w:rPr>
          <w:rFonts w:ascii="Times New Roman" w:hAnsi="Times New Roman"/>
          <w:b/>
          <w:sz w:val="32"/>
          <w:szCs w:val="32"/>
        </w:rPr>
        <w:t>Пояснительная записка</w:t>
      </w:r>
    </w:p>
    <w:p w:rsidR="000B4F52" w:rsidRPr="00B371BB" w:rsidRDefault="000B4F52" w:rsidP="00B31D14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</w:p>
    <w:p w:rsidR="000B4F52" w:rsidRDefault="000B4F52" w:rsidP="00B31D1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 докладу </w:t>
      </w:r>
    </w:p>
    <w:p w:rsidR="000B4F52" w:rsidRDefault="000B4F52" w:rsidP="00B371B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за 2020 год и их планируемых значениях</w:t>
      </w:r>
    </w:p>
    <w:p w:rsidR="000B4F52" w:rsidRPr="00780005" w:rsidRDefault="000B4F52" w:rsidP="00B371B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 трехлетний период»</w:t>
      </w:r>
    </w:p>
    <w:p w:rsidR="000B4F52" w:rsidRDefault="000B4F52" w:rsidP="00B31D1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B4F52" w:rsidRDefault="000B4F52" w:rsidP="00B31D1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B4F52" w:rsidRDefault="000B4F52" w:rsidP="00B31D1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B4F52" w:rsidRDefault="000B4F52" w:rsidP="00B31D1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B4F52" w:rsidRDefault="000B4F52" w:rsidP="00B31D1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B4F52" w:rsidRDefault="000B4F52" w:rsidP="00B31D1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B4F52" w:rsidRDefault="000B4F52" w:rsidP="00B31D1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B4F52" w:rsidRDefault="000B4F52" w:rsidP="00B31D1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B4F52" w:rsidRDefault="000B4F52" w:rsidP="00B31D1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B4F52" w:rsidRDefault="000B4F52" w:rsidP="00B31D1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B4F52" w:rsidRDefault="000B4F52" w:rsidP="00B31D1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B4F52" w:rsidRDefault="000B4F52" w:rsidP="00B31D1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B4F52" w:rsidRDefault="000B4F52" w:rsidP="00B31D1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B4F52" w:rsidRDefault="000B4F52" w:rsidP="00B31D1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B4F52" w:rsidRDefault="000B4F52" w:rsidP="00B31D1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B4F52" w:rsidRDefault="000B4F52" w:rsidP="00B31D1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B4F52" w:rsidRDefault="000B4F52" w:rsidP="00B31D1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B4F52" w:rsidRDefault="000B4F52" w:rsidP="00B31D1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B4F52" w:rsidRDefault="000B4F52" w:rsidP="00B31D1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B4F52" w:rsidRDefault="000B4F52" w:rsidP="00B31D1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B4F52" w:rsidRDefault="000B4F52" w:rsidP="00B31D1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B4F52" w:rsidRDefault="000B4F52" w:rsidP="00B31D1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B4F52" w:rsidRDefault="000B4F52" w:rsidP="00B31D1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B4F52" w:rsidRDefault="000B4F52" w:rsidP="00B31D1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B4F52" w:rsidRDefault="000B4F52" w:rsidP="00B31D1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B4F52" w:rsidRDefault="000B4F52" w:rsidP="009D0C32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0B4F52" w:rsidRDefault="000B4F52" w:rsidP="00C31C57">
      <w:pPr>
        <w:pStyle w:val="NoSpacing"/>
        <w:numPr>
          <w:ilvl w:val="0"/>
          <w:numId w:val="1"/>
        </w:num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F648A">
        <w:rPr>
          <w:rFonts w:ascii="Times New Roman" w:hAnsi="Times New Roman"/>
          <w:b/>
          <w:sz w:val="28"/>
          <w:szCs w:val="28"/>
        </w:rPr>
        <w:t>Экономическое развитие</w:t>
      </w:r>
    </w:p>
    <w:p w:rsidR="000B4F52" w:rsidRDefault="000B4F52" w:rsidP="00D1527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0B4F52" w:rsidRPr="00201D18" w:rsidRDefault="000B4F52" w:rsidP="00D15271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201D18">
        <w:rPr>
          <w:rFonts w:ascii="Times New Roman" w:hAnsi="Times New Roman"/>
          <w:b/>
          <w:sz w:val="28"/>
          <w:szCs w:val="28"/>
        </w:rPr>
        <w:t>Результаты социально-эконом</w:t>
      </w:r>
      <w:r>
        <w:rPr>
          <w:rFonts w:ascii="Times New Roman" w:hAnsi="Times New Roman"/>
          <w:b/>
          <w:sz w:val="28"/>
          <w:szCs w:val="28"/>
        </w:rPr>
        <w:t xml:space="preserve">ического развития по итогам 2020 </w:t>
      </w:r>
      <w:r w:rsidRPr="00201D18">
        <w:rPr>
          <w:rFonts w:ascii="Times New Roman" w:hAnsi="Times New Roman"/>
          <w:b/>
          <w:sz w:val="28"/>
          <w:szCs w:val="28"/>
        </w:rPr>
        <w:t>года.</w:t>
      </w:r>
    </w:p>
    <w:p w:rsidR="000B4F52" w:rsidRDefault="000B4F52" w:rsidP="00317B51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0B4F52" w:rsidRDefault="000B4F52" w:rsidP="00A916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МО «Мелекесский район»  по  итогам 2020 года  занял первое место по  рейтингу социально – экономического развития муниципальных районов  Ульяновской  области.  </w:t>
      </w:r>
    </w:p>
    <w:p w:rsidR="000B4F52" w:rsidRDefault="000B4F52" w:rsidP="00551C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4F52" w:rsidRPr="00317B51" w:rsidRDefault="000B4F52" w:rsidP="00551C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4F52" w:rsidRDefault="000B4F52" w:rsidP="009D7C3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23018C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>нвестиции и предпринимательство.</w:t>
      </w:r>
    </w:p>
    <w:p w:rsidR="000B4F52" w:rsidRDefault="000B4F52" w:rsidP="009D7C3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0B4F52" w:rsidRDefault="000B4F52" w:rsidP="00C31C57">
      <w:pPr>
        <w:pStyle w:val="NoSpacing"/>
        <w:ind w:firstLine="540"/>
        <w:jc w:val="both"/>
        <w:rPr>
          <w:rFonts w:ascii="Times New Roman" w:hAnsi="Times New Roman"/>
          <w:sz w:val="28"/>
          <w:szCs w:val="28"/>
        </w:rPr>
      </w:pPr>
      <w:r w:rsidRPr="007B78F0">
        <w:rPr>
          <w:rFonts w:ascii="Times New Roman" w:hAnsi="Times New Roman"/>
          <w:sz w:val="28"/>
          <w:szCs w:val="28"/>
        </w:rPr>
        <w:t>Общее количество хозяйствующих субъектов, ведущих деятел</w:t>
      </w:r>
      <w:r>
        <w:rPr>
          <w:rFonts w:ascii="Times New Roman" w:hAnsi="Times New Roman"/>
          <w:sz w:val="28"/>
          <w:szCs w:val="28"/>
        </w:rPr>
        <w:t>ьность на территории района 959</w:t>
      </w:r>
      <w:r w:rsidRPr="007B78F0">
        <w:rPr>
          <w:rFonts w:ascii="Times New Roman" w:hAnsi="Times New Roman"/>
          <w:sz w:val="28"/>
          <w:szCs w:val="28"/>
        </w:rPr>
        <w:t xml:space="preserve"> ед., из них количество индивидуаль</w:t>
      </w:r>
      <w:r>
        <w:rPr>
          <w:rFonts w:ascii="Times New Roman" w:hAnsi="Times New Roman"/>
          <w:sz w:val="28"/>
          <w:szCs w:val="28"/>
        </w:rPr>
        <w:t>ных предпринимателей 600 ед.</w:t>
      </w:r>
    </w:p>
    <w:p w:rsidR="000B4F52" w:rsidRPr="007B78F0" w:rsidRDefault="000B4F52" w:rsidP="00102B5A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0B4F52" w:rsidRDefault="000B4F52" w:rsidP="00C31C57">
      <w:pPr>
        <w:pStyle w:val="NoSpacing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C9112A">
        <w:rPr>
          <w:rFonts w:ascii="Times New Roman" w:hAnsi="Times New Roman"/>
          <w:b/>
          <w:sz w:val="28"/>
          <w:szCs w:val="28"/>
        </w:rPr>
        <w:t>Показатель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C9112A">
        <w:rPr>
          <w:rFonts w:ascii="Times New Roman" w:hAnsi="Times New Roman"/>
          <w:b/>
          <w:sz w:val="28"/>
          <w:szCs w:val="28"/>
        </w:rPr>
        <w:t>№1</w:t>
      </w:r>
    </w:p>
    <w:p w:rsidR="000B4F52" w:rsidRPr="00C9112A" w:rsidRDefault="000B4F52" w:rsidP="00C31C57">
      <w:pPr>
        <w:pStyle w:val="NoSpacing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0B4F52" w:rsidRDefault="000B4F52" w:rsidP="00C31C57">
      <w:pPr>
        <w:pStyle w:val="NoSpacing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23643D">
        <w:rPr>
          <w:rFonts w:ascii="Times New Roman" w:hAnsi="Times New Roman"/>
          <w:b/>
          <w:sz w:val="28"/>
          <w:szCs w:val="28"/>
        </w:rPr>
        <w:t>Число субъектов малого и среднего предпринимательства в расчете на 10 тыс.</w:t>
      </w:r>
      <w:r>
        <w:rPr>
          <w:rFonts w:ascii="Times New Roman" w:hAnsi="Times New Roman"/>
          <w:b/>
          <w:sz w:val="28"/>
          <w:szCs w:val="28"/>
        </w:rPr>
        <w:t xml:space="preserve"> человек населения» составило 191,9 единиц, обеспечив рост  на 101,1 </w:t>
      </w:r>
      <w:r w:rsidRPr="0023643D">
        <w:rPr>
          <w:rFonts w:ascii="Times New Roman" w:hAnsi="Times New Roman"/>
          <w:b/>
          <w:sz w:val="28"/>
          <w:szCs w:val="28"/>
        </w:rPr>
        <w:t>%</w:t>
      </w:r>
      <w:r>
        <w:rPr>
          <w:rFonts w:ascii="Times New Roman" w:hAnsi="Times New Roman"/>
          <w:b/>
          <w:sz w:val="28"/>
          <w:szCs w:val="28"/>
        </w:rPr>
        <w:t>,</w:t>
      </w:r>
      <w:r w:rsidRPr="0023643D">
        <w:rPr>
          <w:rFonts w:ascii="Times New Roman" w:hAnsi="Times New Roman"/>
          <w:b/>
          <w:sz w:val="28"/>
          <w:szCs w:val="28"/>
        </w:rPr>
        <w:t xml:space="preserve"> динамика поло</w:t>
      </w:r>
      <w:r>
        <w:rPr>
          <w:rFonts w:ascii="Times New Roman" w:hAnsi="Times New Roman"/>
          <w:b/>
          <w:sz w:val="28"/>
          <w:szCs w:val="28"/>
        </w:rPr>
        <w:t>жительная.</w:t>
      </w:r>
    </w:p>
    <w:p w:rsidR="000B4F52" w:rsidRPr="005A2897" w:rsidRDefault="000B4F52" w:rsidP="00C31C57">
      <w:pPr>
        <w:pStyle w:val="NoSpacing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5A2897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 xml:space="preserve"> 2020 год  от субъектов предпринимательской деятельности  в консолидированный  бюджет  района  поступила  налогов от «спецрежимов» 15,4  млн. руб.  с темпом роста  100,7%  к уровню   прошлого года.</w:t>
      </w:r>
    </w:p>
    <w:p w:rsidR="000B4F52" w:rsidRPr="0023643D" w:rsidRDefault="000B4F52" w:rsidP="00C31C57">
      <w:pPr>
        <w:pStyle w:val="NoSpacing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0B4F52" w:rsidRDefault="000B4F52" w:rsidP="00C31C57">
      <w:pPr>
        <w:pStyle w:val="NoSpacing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Показатель№2</w:t>
      </w:r>
    </w:p>
    <w:p w:rsidR="000B4F52" w:rsidRPr="00B65D92" w:rsidRDefault="000B4F52" w:rsidP="00C147DD">
      <w:pPr>
        <w:pStyle w:val="NoSpacing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B65D92">
        <w:rPr>
          <w:rFonts w:ascii="Times New Roman" w:hAnsi="Times New Roman"/>
          <w:b/>
          <w:sz w:val="28"/>
          <w:szCs w:val="28"/>
        </w:rPr>
        <w:t>Доля среднесписочной численности работников без вне</w:t>
      </w:r>
      <w:r>
        <w:rPr>
          <w:rFonts w:ascii="Times New Roman" w:hAnsi="Times New Roman"/>
          <w:b/>
          <w:sz w:val="28"/>
          <w:szCs w:val="28"/>
        </w:rPr>
        <w:t>шних совместителей) малых и сред</w:t>
      </w:r>
      <w:r w:rsidRPr="00B65D92">
        <w:rPr>
          <w:rFonts w:ascii="Times New Roman" w:hAnsi="Times New Roman"/>
          <w:b/>
          <w:sz w:val="28"/>
          <w:szCs w:val="28"/>
        </w:rPr>
        <w:t>них предприятий в среднесписочной численности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65D92">
        <w:rPr>
          <w:rFonts w:ascii="Times New Roman" w:hAnsi="Times New Roman"/>
          <w:b/>
          <w:sz w:val="28"/>
          <w:szCs w:val="28"/>
        </w:rPr>
        <w:t xml:space="preserve"> работников (без внешних совместителей)</w:t>
      </w:r>
      <w:r>
        <w:rPr>
          <w:rFonts w:ascii="Times New Roman" w:hAnsi="Times New Roman"/>
          <w:b/>
          <w:sz w:val="28"/>
          <w:szCs w:val="28"/>
        </w:rPr>
        <w:t xml:space="preserve"> всех предприятий и организаций» составила 51,2</w:t>
      </w:r>
      <w:r w:rsidRPr="00B65D92">
        <w:rPr>
          <w:rFonts w:ascii="Times New Roman" w:hAnsi="Times New Roman"/>
          <w:b/>
          <w:sz w:val="28"/>
          <w:szCs w:val="28"/>
        </w:rPr>
        <w:t>% с темпом роста</w:t>
      </w:r>
      <w:r>
        <w:rPr>
          <w:rFonts w:ascii="Times New Roman" w:hAnsi="Times New Roman"/>
          <w:b/>
          <w:sz w:val="28"/>
          <w:szCs w:val="28"/>
        </w:rPr>
        <w:t xml:space="preserve"> 117,8</w:t>
      </w:r>
      <w:r w:rsidRPr="00B65D92">
        <w:rPr>
          <w:rFonts w:ascii="Times New Roman" w:hAnsi="Times New Roman"/>
          <w:b/>
          <w:sz w:val="28"/>
          <w:szCs w:val="28"/>
        </w:rPr>
        <w:t>%</w:t>
      </w:r>
      <w:r>
        <w:rPr>
          <w:rFonts w:ascii="Times New Roman" w:hAnsi="Times New Roman"/>
          <w:b/>
          <w:sz w:val="28"/>
          <w:szCs w:val="28"/>
        </w:rPr>
        <w:t>, динамика положительная.</w:t>
      </w:r>
    </w:p>
    <w:p w:rsidR="000B4F52" w:rsidRDefault="000B4F52" w:rsidP="00DF7555">
      <w:pPr>
        <w:pStyle w:val="NoSpacing"/>
        <w:ind w:firstLine="540"/>
        <w:jc w:val="both"/>
        <w:rPr>
          <w:rFonts w:ascii="Times New Roman" w:hAnsi="Times New Roman"/>
          <w:sz w:val="28"/>
          <w:szCs w:val="28"/>
        </w:rPr>
      </w:pPr>
      <w:r w:rsidRPr="0078000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B4F52" w:rsidRDefault="000B4F52" w:rsidP="00C31C57">
      <w:pPr>
        <w:pStyle w:val="NoSpacing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Показатель№3.</w:t>
      </w:r>
    </w:p>
    <w:p w:rsidR="000B4F52" w:rsidRDefault="000B4F52" w:rsidP="00C31C57">
      <w:pPr>
        <w:pStyle w:val="NoSpacing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7143E1">
        <w:rPr>
          <w:rFonts w:ascii="Times New Roman" w:hAnsi="Times New Roman"/>
          <w:b/>
          <w:sz w:val="28"/>
          <w:szCs w:val="28"/>
        </w:rPr>
        <w:t>Объем инвестиций в основной капитал (за исключением бюджетных средств) в расчете на 1 жителя</w:t>
      </w:r>
      <w:r>
        <w:rPr>
          <w:rFonts w:ascii="Times New Roman" w:hAnsi="Times New Roman"/>
          <w:b/>
          <w:sz w:val="28"/>
          <w:szCs w:val="28"/>
        </w:rPr>
        <w:t>» составил 11052,23 рублей, динамика отрицательная.</w:t>
      </w:r>
      <w:r w:rsidRPr="007143E1">
        <w:rPr>
          <w:rFonts w:ascii="Times New Roman" w:hAnsi="Times New Roman"/>
          <w:b/>
          <w:sz w:val="28"/>
          <w:szCs w:val="28"/>
        </w:rPr>
        <w:t xml:space="preserve">   </w:t>
      </w:r>
    </w:p>
    <w:p w:rsidR="000B4F52" w:rsidRPr="004531AE" w:rsidRDefault="000B4F52" w:rsidP="00A916F5">
      <w:pPr>
        <w:pStyle w:val="NoSpacing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полному кругу предприятий  объем инвестиционных  вложений  составил в пределах  1,5 млрд. руб.</w:t>
      </w:r>
      <w:r w:rsidRPr="00780005">
        <w:rPr>
          <w:rFonts w:ascii="Times New Roman" w:hAnsi="Times New Roman"/>
          <w:sz w:val="28"/>
          <w:szCs w:val="28"/>
        </w:rPr>
        <w:t xml:space="preserve"> Капитальные вложения направлены на модернизацию действующих производств и развитие новых субъектов.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B4F52" w:rsidRPr="00FF3DA1" w:rsidRDefault="000B4F52" w:rsidP="00FF3D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4F52" w:rsidRPr="0023643D" w:rsidRDefault="000B4F52" w:rsidP="005C6941">
      <w:pPr>
        <w:pStyle w:val="NoSpacing"/>
        <w:ind w:firstLine="720"/>
        <w:jc w:val="both"/>
        <w:rPr>
          <w:rFonts w:ascii="Times New Roman" w:hAnsi="Times New Roman"/>
          <w:b/>
          <w:color w:val="212121"/>
          <w:sz w:val="28"/>
          <w:szCs w:val="28"/>
        </w:rPr>
      </w:pPr>
      <w:r w:rsidRPr="0023643D">
        <w:rPr>
          <w:rFonts w:ascii="Times New Roman" w:hAnsi="Times New Roman"/>
          <w:b/>
          <w:color w:val="212121"/>
          <w:sz w:val="28"/>
          <w:szCs w:val="28"/>
        </w:rPr>
        <w:t>Показатель№4</w:t>
      </w:r>
    </w:p>
    <w:p w:rsidR="000B4F52" w:rsidRDefault="000B4F52" w:rsidP="008727F3">
      <w:pPr>
        <w:pStyle w:val="a"/>
        <w:ind w:firstLine="720"/>
        <w:jc w:val="both"/>
        <w:rPr>
          <w:sz w:val="28"/>
          <w:szCs w:val="28"/>
        </w:rPr>
      </w:pPr>
      <w:r w:rsidRPr="008727F3">
        <w:rPr>
          <w:b/>
          <w:sz w:val="28"/>
          <w:szCs w:val="28"/>
        </w:rPr>
        <w:t>«Доля площади земельных участков, являющихся объектами налогообложения земельным участком, в общей площади территории муниципа</w:t>
      </w:r>
      <w:r>
        <w:rPr>
          <w:b/>
          <w:sz w:val="28"/>
          <w:szCs w:val="28"/>
        </w:rPr>
        <w:t>льного района»  возросла  с 89% до 98</w:t>
      </w:r>
      <w:r w:rsidRPr="008727F3">
        <w:rPr>
          <w:b/>
          <w:sz w:val="28"/>
          <w:szCs w:val="28"/>
        </w:rPr>
        <w:t>%, динамика положительная.</w:t>
      </w:r>
      <w:r w:rsidRPr="008727F3">
        <w:rPr>
          <w:sz w:val="28"/>
          <w:szCs w:val="28"/>
        </w:rPr>
        <w:t xml:space="preserve">  </w:t>
      </w:r>
    </w:p>
    <w:p w:rsidR="000B4F52" w:rsidRPr="002441DE" w:rsidRDefault="000B4F52" w:rsidP="00A916F5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2441DE">
        <w:rPr>
          <w:rFonts w:ascii="Times New Roman" w:hAnsi="Times New Roman"/>
          <w:sz w:val="28"/>
          <w:szCs w:val="28"/>
        </w:rPr>
        <w:t>Важным налоговым потенциалом по наращиванию собственных доходов остается работа администрации   по вовлечению в хозяйственный оборот  земель сельскохозяйственного назначения. За прошлый  год в хозяйственный оборот вовлечено дополнительно 3.3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41DE">
        <w:rPr>
          <w:rFonts w:ascii="Times New Roman" w:hAnsi="Times New Roman"/>
          <w:sz w:val="28"/>
          <w:szCs w:val="28"/>
        </w:rPr>
        <w:t>тыс.га., экономический эффект составил 12,8  млн. рублей.</w:t>
      </w:r>
    </w:p>
    <w:p w:rsidR="000B4F52" w:rsidRDefault="000B4F52" w:rsidP="008727F3">
      <w:pPr>
        <w:pStyle w:val="a"/>
        <w:jc w:val="both"/>
        <w:rPr>
          <w:color w:val="212121"/>
          <w:sz w:val="28"/>
          <w:szCs w:val="28"/>
        </w:rPr>
      </w:pPr>
    </w:p>
    <w:p w:rsidR="000B4F52" w:rsidRPr="005C6941" w:rsidRDefault="000B4F52" w:rsidP="008727F3">
      <w:pPr>
        <w:pStyle w:val="a"/>
        <w:jc w:val="both"/>
        <w:rPr>
          <w:rFonts w:cs="Times New Roman"/>
          <w:color w:val="auto"/>
          <w:sz w:val="28"/>
          <w:szCs w:val="28"/>
        </w:rPr>
      </w:pPr>
    </w:p>
    <w:p w:rsidR="000B4F52" w:rsidRDefault="000B4F52" w:rsidP="009D7C3B">
      <w:pPr>
        <w:pStyle w:val="NoSpacing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341038">
        <w:rPr>
          <w:rFonts w:ascii="Times New Roman" w:hAnsi="Times New Roman"/>
          <w:b/>
          <w:sz w:val="28"/>
          <w:szCs w:val="28"/>
        </w:rPr>
        <w:t>Сельское хозяйство.</w:t>
      </w:r>
    </w:p>
    <w:p w:rsidR="000B4F52" w:rsidRDefault="000B4F52" w:rsidP="009D7C3B">
      <w:pPr>
        <w:pStyle w:val="NoSpacing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0B4F52" w:rsidRDefault="000B4F52" w:rsidP="005A2897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B4F52" w:rsidRPr="0023643D" w:rsidRDefault="000B4F52" w:rsidP="005C6941">
      <w:pPr>
        <w:pStyle w:val="NoSpacing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23643D">
        <w:rPr>
          <w:rFonts w:ascii="Times New Roman" w:hAnsi="Times New Roman"/>
          <w:b/>
          <w:sz w:val="28"/>
          <w:szCs w:val="28"/>
        </w:rPr>
        <w:t>Показатель №5</w:t>
      </w:r>
    </w:p>
    <w:p w:rsidR="000B4F52" w:rsidRDefault="000B4F52" w:rsidP="005C6941">
      <w:pPr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23643D">
        <w:rPr>
          <w:rFonts w:ascii="Times New Roman" w:hAnsi="Times New Roman"/>
          <w:b/>
          <w:sz w:val="28"/>
          <w:szCs w:val="28"/>
        </w:rPr>
        <w:t xml:space="preserve">Доля прибыльных сельскохозяйственных </w:t>
      </w:r>
      <w:r>
        <w:rPr>
          <w:rFonts w:ascii="Times New Roman" w:hAnsi="Times New Roman"/>
          <w:b/>
          <w:sz w:val="28"/>
          <w:szCs w:val="28"/>
        </w:rPr>
        <w:t>организаций в общем их числе»   в 2020 году составила  0%.</w:t>
      </w:r>
    </w:p>
    <w:p w:rsidR="000B4F52" w:rsidRDefault="000B4F52" w:rsidP="005C6941">
      <w:pPr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</w:p>
    <w:p w:rsidR="000B4F52" w:rsidRPr="0023643D" w:rsidRDefault="000B4F52" w:rsidP="005C6941">
      <w:pPr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</w:p>
    <w:p w:rsidR="000B4F52" w:rsidRDefault="000B4F52" w:rsidP="008727F3">
      <w:pPr>
        <w:pStyle w:val="NoSpacing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246905">
        <w:rPr>
          <w:rFonts w:ascii="Times New Roman" w:hAnsi="Times New Roman"/>
          <w:b/>
          <w:sz w:val="28"/>
          <w:szCs w:val="28"/>
        </w:rPr>
        <w:t>Дорожное хозяйство и транспортное обслуживание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0B4F52" w:rsidRDefault="000B4F52" w:rsidP="008727F3">
      <w:pPr>
        <w:pStyle w:val="NoSpacing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0B4F52" w:rsidRPr="002441DE" w:rsidRDefault="000B4F52" w:rsidP="00F866E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2441DE">
        <w:rPr>
          <w:rFonts w:ascii="Times New Roman" w:hAnsi="Times New Roman"/>
          <w:sz w:val="28"/>
          <w:szCs w:val="28"/>
        </w:rPr>
        <w:t>На ремонт и содержание дорожной отрасли  на период до 2024 годы предусмотрено 182.6 млн.руб.</w:t>
      </w:r>
    </w:p>
    <w:p w:rsidR="000B4F52" w:rsidRPr="002441DE" w:rsidRDefault="000B4F52" w:rsidP="00F866E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2441DE">
        <w:rPr>
          <w:rFonts w:ascii="Times New Roman" w:hAnsi="Times New Roman"/>
          <w:sz w:val="28"/>
          <w:szCs w:val="28"/>
        </w:rPr>
        <w:t>В 2020 году выполнено:</w:t>
      </w:r>
    </w:p>
    <w:p w:rsidR="000B4F52" w:rsidRPr="002441DE" w:rsidRDefault="000B4F52" w:rsidP="00F866E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441DE">
        <w:rPr>
          <w:rFonts w:ascii="Times New Roman" w:hAnsi="Times New Roman"/>
          <w:sz w:val="28"/>
          <w:szCs w:val="28"/>
        </w:rPr>
        <w:t>- проектирование 4 автомобильных дорог на сумму 7.6 млн.руб.;</w:t>
      </w:r>
    </w:p>
    <w:p w:rsidR="000B4F52" w:rsidRPr="002441DE" w:rsidRDefault="000B4F52" w:rsidP="00F866E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441DE">
        <w:rPr>
          <w:rFonts w:ascii="Times New Roman" w:hAnsi="Times New Roman"/>
          <w:sz w:val="28"/>
          <w:szCs w:val="28"/>
        </w:rPr>
        <w:t>-ремонт 21 участка автомобильных дорог местного значения на сумму 23.5млн. руб.;</w:t>
      </w:r>
    </w:p>
    <w:p w:rsidR="000B4F52" w:rsidRPr="002441DE" w:rsidRDefault="000B4F52" w:rsidP="00F866E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441DE">
        <w:rPr>
          <w:rFonts w:ascii="Times New Roman" w:hAnsi="Times New Roman"/>
          <w:sz w:val="28"/>
          <w:szCs w:val="28"/>
        </w:rPr>
        <w:t>-установлен пешеходный переход у школы;</w:t>
      </w:r>
    </w:p>
    <w:p w:rsidR="000B4F52" w:rsidRPr="002441DE" w:rsidRDefault="000B4F52" w:rsidP="00F866E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441DE">
        <w:rPr>
          <w:rFonts w:ascii="Times New Roman" w:hAnsi="Times New Roman"/>
          <w:sz w:val="28"/>
          <w:szCs w:val="28"/>
        </w:rPr>
        <w:t>- ремонт автомобильных дорог у медицинских учреждений на сумму 2.9 млн.руб.</w:t>
      </w:r>
    </w:p>
    <w:p w:rsidR="000B4F52" w:rsidRDefault="000B4F52" w:rsidP="00F866E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F866E4">
        <w:rPr>
          <w:rFonts w:ascii="Times New Roman" w:hAnsi="Times New Roman"/>
          <w:sz w:val="28"/>
          <w:szCs w:val="28"/>
        </w:rPr>
        <w:t>В 2021 году на ремонт автомобильных дорог и устройство велосепедных  дорожек  предусмотрено финансирование 51.3 млн. руб.</w:t>
      </w:r>
      <w:r>
        <w:rPr>
          <w:rFonts w:ascii="Times New Roman" w:hAnsi="Times New Roman"/>
          <w:sz w:val="28"/>
          <w:szCs w:val="28"/>
        </w:rPr>
        <w:t xml:space="preserve"> На сегодня заключено 13</w:t>
      </w:r>
      <w:r w:rsidRPr="002441DE">
        <w:rPr>
          <w:rFonts w:ascii="Times New Roman" w:hAnsi="Times New Roman"/>
          <w:sz w:val="28"/>
          <w:szCs w:val="28"/>
        </w:rPr>
        <w:t xml:space="preserve"> муниципальных к</w:t>
      </w:r>
      <w:r>
        <w:rPr>
          <w:rFonts w:ascii="Times New Roman" w:hAnsi="Times New Roman"/>
          <w:sz w:val="28"/>
          <w:szCs w:val="28"/>
        </w:rPr>
        <w:t xml:space="preserve">онтрактов на общую сумму 47.6 </w:t>
      </w:r>
      <w:r w:rsidRPr="002441DE">
        <w:rPr>
          <w:rFonts w:ascii="Times New Roman" w:hAnsi="Times New Roman"/>
          <w:sz w:val="28"/>
          <w:szCs w:val="28"/>
        </w:rPr>
        <w:t>млн. руб. По итогам аукционов на сумму полученной экономии будут определены</w:t>
      </w:r>
      <w:r>
        <w:rPr>
          <w:rFonts w:ascii="Times New Roman" w:hAnsi="Times New Roman"/>
          <w:sz w:val="28"/>
          <w:szCs w:val="28"/>
        </w:rPr>
        <w:t xml:space="preserve"> дополнительные </w:t>
      </w:r>
      <w:r w:rsidRPr="002441DE">
        <w:rPr>
          <w:rFonts w:ascii="Times New Roman" w:hAnsi="Times New Roman"/>
          <w:sz w:val="28"/>
          <w:szCs w:val="28"/>
        </w:rPr>
        <w:t xml:space="preserve"> участки ремонта автомобильных дорог.</w:t>
      </w:r>
    </w:p>
    <w:p w:rsidR="000B4F52" w:rsidRDefault="000B4F52" w:rsidP="008727F3">
      <w:pPr>
        <w:pStyle w:val="NoSpacing"/>
        <w:ind w:firstLine="540"/>
        <w:jc w:val="center"/>
        <w:rPr>
          <w:rFonts w:ascii="PT Astra Serif" w:hAnsi="PT Astra Serif"/>
          <w:sz w:val="28"/>
          <w:szCs w:val="28"/>
        </w:rPr>
      </w:pPr>
    </w:p>
    <w:p w:rsidR="000B4F52" w:rsidRDefault="000B4F52" w:rsidP="001E12A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B4F52" w:rsidRDefault="000B4F52" w:rsidP="005C6941">
      <w:pPr>
        <w:pStyle w:val="NoSpacing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6C5183">
        <w:rPr>
          <w:rFonts w:ascii="Times New Roman" w:hAnsi="Times New Roman"/>
          <w:b/>
          <w:sz w:val="28"/>
          <w:szCs w:val="28"/>
        </w:rPr>
        <w:t>Показатель№6</w:t>
      </w:r>
    </w:p>
    <w:p w:rsidR="000B4F52" w:rsidRDefault="000B4F52" w:rsidP="005C6941">
      <w:pPr>
        <w:pStyle w:val="NoSpacing"/>
        <w:ind w:firstLine="53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6C5183">
        <w:rPr>
          <w:rFonts w:ascii="Times New Roman" w:hAnsi="Times New Roman"/>
          <w:b/>
          <w:sz w:val="28"/>
          <w:szCs w:val="28"/>
        </w:rPr>
        <w:t>Доля протяженности автомобильных  дорог общего  пользования  местного значения, не  отвечающая  требованиям, в общей  протяженности  автомобильных дорог  общего  пользования  местного значения</w:t>
      </w:r>
      <w:r>
        <w:rPr>
          <w:rFonts w:ascii="Times New Roman" w:hAnsi="Times New Roman"/>
          <w:b/>
          <w:sz w:val="28"/>
          <w:szCs w:val="28"/>
        </w:rPr>
        <w:t>»</w:t>
      </w:r>
      <w:r w:rsidRPr="006C518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-  0,28</w:t>
      </w:r>
      <w:r w:rsidRPr="006C5183">
        <w:rPr>
          <w:rFonts w:ascii="Times New Roman" w:hAnsi="Times New Roman"/>
          <w:b/>
          <w:sz w:val="28"/>
          <w:szCs w:val="28"/>
        </w:rPr>
        <w:t>%.</w:t>
      </w:r>
      <w:r>
        <w:rPr>
          <w:rFonts w:ascii="Times New Roman" w:hAnsi="Times New Roman"/>
          <w:b/>
          <w:sz w:val="28"/>
          <w:szCs w:val="28"/>
        </w:rPr>
        <w:t xml:space="preserve"> Динамика  положительная. </w:t>
      </w:r>
    </w:p>
    <w:p w:rsidR="000B4F52" w:rsidRDefault="000B4F52" w:rsidP="005C6941">
      <w:pPr>
        <w:pStyle w:val="NoSpacing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0B4F52" w:rsidRPr="006C5183" w:rsidRDefault="000B4F52" w:rsidP="005C6941">
      <w:pPr>
        <w:pStyle w:val="NoSpacing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Показатель№7</w:t>
      </w:r>
    </w:p>
    <w:p w:rsidR="000B4F52" w:rsidRDefault="000B4F52" w:rsidP="009A7FC7">
      <w:pPr>
        <w:pStyle w:val="NoSpacing"/>
        <w:ind w:firstLine="53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6C5183">
        <w:rPr>
          <w:rFonts w:ascii="Times New Roman" w:hAnsi="Times New Roman"/>
          <w:b/>
          <w:sz w:val="28"/>
          <w:szCs w:val="28"/>
        </w:rPr>
        <w:t>Доля  населения, проживающего в населенных  пунктах, не  имеющих  регулярного автобусного  сообщения  с административным центром, в общей  численности  н</w:t>
      </w:r>
      <w:r>
        <w:rPr>
          <w:rFonts w:ascii="Times New Roman" w:hAnsi="Times New Roman"/>
          <w:b/>
          <w:sz w:val="28"/>
          <w:szCs w:val="28"/>
        </w:rPr>
        <w:t>аселения  муниципального района»</w:t>
      </w:r>
      <w:r w:rsidRPr="006C5183">
        <w:rPr>
          <w:rFonts w:ascii="Times New Roman" w:hAnsi="Times New Roman"/>
          <w:b/>
          <w:sz w:val="28"/>
          <w:szCs w:val="28"/>
        </w:rPr>
        <w:t xml:space="preserve">    составляет  </w:t>
      </w:r>
      <w:r>
        <w:rPr>
          <w:rFonts w:ascii="Times New Roman" w:hAnsi="Times New Roman"/>
          <w:b/>
          <w:sz w:val="28"/>
          <w:szCs w:val="28"/>
        </w:rPr>
        <w:t xml:space="preserve">0,36%.  Динамика  положительная. </w:t>
      </w:r>
    </w:p>
    <w:p w:rsidR="000B4F52" w:rsidRDefault="000B4F52" w:rsidP="005C6941">
      <w:pPr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</w:p>
    <w:p w:rsidR="000B4F52" w:rsidRDefault="000B4F52" w:rsidP="005C6941">
      <w:pPr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</w:p>
    <w:p w:rsidR="000B4F52" w:rsidRDefault="000B4F52" w:rsidP="001E12A5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Доходы и занятость населения.</w:t>
      </w:r>
    </w:p>
    <w:p w:rsidR="000B4F52" w:rsidRDefault="000B4F52" w:rsidP="001E12A5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0B4F52" w:rsidRPr="002441DE" w:rsidRDefault="000B4F52" w:rsidP="00F264C8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Сегодня в экономике района задействовано свыше, тысячи хозяйствующих субъектов</w:t>
      </w:r>
      <w:r w:rsidRPr="002441DE">
        <w:rPr>
          <w:rFonts w:ascii="Times New Roman" w:hAnsi="Times New Roman"/>
          <w:sz w:val="28"/>
          <w:szCs w:val="28"/>
        </w:rPr>
        <w:t xml:space="preserve">, из них 60.0% субъекты малого и среднего предпринимательства. </w:t>
      </w:r>
      <w:r w:rsidRPr="00092FC1">
        <w:rPr>
          <w:rFonts w:ascii="Times New Roman" w:hAnsi="Times New Roman"/>
          <w:sz w:val="28"/>
          <w:szCs w:val="28"/>
        </w:rPr>
        <w:t xml:space="preserve">Не смотря, на ограничения,  вызванные коронавирусом, </w:t>
      </w:r>
      <w:r>
        <w:rPr>
          <w:rFonts w:ascii="Times New Roman" w:hAnsi="Times New Roman"/>
          <w:sz w:val="28"/>
          <w:szCs w:val="28"/>
        </w:rPr>
        <w:t>в</w:t>
      </w:r>
      <w:r w:rsidRPr="002441DE">
        <w:rPr>
          <w:rFonts w:ascii="Times New Roman" w:hAnsi="Times New Roman"/>
          <w:sz w:val="28"/>
          <w:szCs w:val="28"/>
        </w:rPr>
        <w:t xml:space="preserve"> течение 2020 г начали свою деятельн</w:t>
      </w:r>
      <w:r>
        <w:rPr>
          <w:rFonts w:ascii="Times New Roman" w:hAnsi="Times New Roman"/>
          <w:sz w:val="28"/>
          <w:szCs w:val="28"/>
        </w:rPr>
        <w:t xml:space="preserve">ость 118 ИП и 158 «самозанятых», </w:t>
      </w:r>
      <w:r w:rsidRPr="002441DE">
        <w:rPr>
          <w:rFonts w:ascii="Times New Roman" w:hAnsi="Times New Roman"/>
          <w:sz w:val="28"/>
          <w:szCs w:val="28"/>
        </w:rPr>
        <w:t>создано 968 рабочих мест, из них 30% высокопроизводительные</w:t>
      </w:r>
      <w:r>
        <w:rPr>
          <w:rFonts w:ascii="Times New Roman" w:hAnsi="Times New Roman"/>
          <w:sz w:val="28"/>
          <w:szCs w:val="28"/>
        </w:rPr>
        <w:t xml:space="preserve"> рабочие места </w:t>
      </w:r>
      <w:r w:rsidRPr="002441DE">
        <w:rPr>
          <w:rFonts w:ascii="Times New Roman" w:hAnsi="Times New Roman"/>
          <w:sz w:val="28"/>
          <w:szCs w:val="28"/>
        </w:rPr>
        <w:t xml:space="preserve"> со средней заработной платой от 26,4 тыс. рублей. Темп  роста  среднемесячной заработной платы по крупным и средним предприятиям достиг 114.7%  при уровне заработной платы  29,7 тыс. руб., задолженности по выплате не имеется.</w:t>
      </w:r>
    </w:p>
    <w:p w:rsidR="000B4F52" w:rsidRDefault="000B4F52" w:rsidP="005C6941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0B4F52" w:rsidRPr="00FB09EE" w:rsidRDefault="000B4F52" w:rsidP="005C6941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0B4F52" w:rsidRPr="00BF59C9" w:rsidRDefault="000B4F52" w:rsidP="005C6941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C5183">
        <w:rPr>
          <w:rFonts w:ascii="Times New Roman" w:hAnsi="Times New Roman"/>
          <w:b/>
          <w:sz w:val="28"/>
          <w:szCs w:val="28"/>
        </w:rPr>
        <w:t xml:space="preserve">Показатель №8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C5183">
        <w:rPr>
          <w:rFonts w:ascii="Times New Roman" w:hAnsi="Times New Roman"/>
          <w:b/>
          <w:sz w:val="28"/>
          <w:szCs w:val="28"/>
        </w:rPr>
        <w:t>Среднемесячная  номинальная начисленная заработная плата работников, рублей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0B4F52" w:rsidRDefault="000B4F52" w:rsidP="005C6941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96F8C">
        <w:rPr>
          <w:rFonts w:ascii="Times New Roman" w:hAnsi="Times New Roman"/>
          <w:sz w:val="28"/>
          <w:szCs w:val="28"/>
        </w:rPr>
        <w:t>-крупных и средних предприятий и коммерческих организаций</w:t>
      </w:r>
      <w:r>
        <w:rPr>
          <w:rFonts w:ascii="Times New Roman" w:hAnsi="Times New Roman"/>
          <w:sz w:val="28"/>
          <w:szCs w:val="28"/>
        </w:rPr>
        <w:t xml:space="preserve"> 29 682,6 руб., темп роста к уровню 2019 года -108,7%.</w:t>
      </w:r>
    </w:p>
    <w:p w:rsidR="000B4F52" w:rsidRDefault="000B4F52" w:rsidP="005C6941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Динамика  положительная.</w:t>
      </w:r>
    </w:p>
    <w:p w:rsidR="000B4F52" w:rsidRDefault="000B4F52" w:rsidP="00A20182">
      <w:pPr>
        <w:rPr>
          <w:rFonts w:ascii="Times New Roman" w:hAnsi="Times New Roman"/>
          <w:b/>
          <w:sz w:val="28"/>
          <w:szCs w:val="28"/>
        </w:rPr>
      </w:pPr>
    </w:p>
    <w:p w:rsidR="000B4F52" w:rsidRPr="00D517FE" w:rsidRDefault="000B4F52" w:rsidP="009D7C3B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Общее, д</w:t>
      </w:r>
      <w:r w:rsidRPr="00D517FE">
        <w:rPr>
          <w:rFonts w:ascii="Times New Roman" w:hAnsi="Times New Roman"/>
          <w:b/>
          <w:sz w:val="28"/>
          <w:szCs w:val="28"/>
        </w:rPr>
        <w:t xml:space="preserve">ошкольное </w:t>
      </w:r>
      <w:r>
        <w:rPr>
          <w:rFonts w:ascii="Times New Roman" w:hAnsi="Times New Roman"/>
          <w:b/>
          <w:sz w:val="28"/>
          <w:szCs w:val="28"/>
        </w:rPr>
        <w:t xml:space="preserve"> и дополнительное </w:t>
      </w:r>
      <w:r w:rsidRPr="00D517FE">
        <w:rPr>
          <w:rFonts w:ascii="Times New Roman" w:hAnsi="Times New Roman"/>
          <w:b/>
          <w:sz w:val="28"/>
          <w:szCs w:val="28"/>
        </w:rPr>
        <w:t>образование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0B4F52" w:rsidRPr="006E283B" w:rsidRDefault="000B4F52" w:rsidP="006E283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6E283B">
        <w:rPr>
          <w:rFonts w:ascii="Times New Roman" w:hAnsi="Times New Roman"/>
          <w:sz w:val="28"/>
          <w:szCs w:val="28"/>
        </w:rPr>
        <w:t>Достижение национальной цели  «Сохранение населения, здоровье и благополучие людей» и «Самореализация и развитие талантов»</w:t>
      </w:r>
    </w:p>
    <w:p w:rsidR="000B4F52" w:rsidRPr="002441DE" w:rsidRDefault="000B4F52" w:rsidP="006E283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2441DE">
        <w:rPr>
          <w:rFonts w:ascii="Times New Roman" w:hAnsi="Times New Roman"/>
          <w:sz w:val="28"/>
          <w:szCs w:val="28"/>
        </w:rPr>
        <w:t>В  районе 31 действующая образовательная организация, из них:</w:t>
      </w:r>
    </w:p>
    <w:p w:rsidR="000B4F52" w:rsidRPr="002441DE" w:rsidRDefault="000B4F52" w:rsidP="006E283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441DE">
        <w:rPr>
          <w:rFonts w:ascii="Times New Roman" w:hAnsi="Times New Roman"/>
          <w:sz w:val="28"/>
          <w:szCs w:val="28"/>
        </w:rPr>
        <w:t>- 8 дошкольных организаций;</w:t>
      </w:r>
    </w:p>
    <w:p w:rsidR="000B4F52" w:rsidRPr="002441DE" w:rsidRDefault="000B4F52" w:rsidP="006E283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441DE">
        <w:rPr>
          <w:rFonts w:ascii="Times New Roman" w:hAnsi="Times New Roman"/>
          <w:sz w:val="28"/>
          <w:szCs w:val="28"/>
        </w:rPr>
        <w:t>- 20 общеобразовательная организация;</w:t>
      </w:r>
    </w:p>
    <w:p w:rsidR="000B4F52" w:rsidRPr="002441DE" w:rsidRDefault="000B4F52" w:rsidP="006E283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441DE">
        <w:rPr>
          <w:rFonts w:ascii="Times New Roman" w:hAnsi="Times New Roman"/>
          <w:sz w:val="28"/>
          <w:szCs w:val="28"/>
        </w:rPr>
        <w:t>- 3 учреждения дополнительного образования (ДЮСШ, Дом творчества, оздоровительный лагерь «Звездочка».</w:t>
      </w:r>
    </w:p>
    <w:p w:rsidR="000B4F52" w:rsidRDefault="000B4F52" w:rsidP="005C6941">
      <w:pPr>
        <w:pStyle w:val="NoSpacing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0B4F52" w:rsidRDefault="000B4F52" w:rsidP="006E283B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0B4F52" w:rsidRPr="00E75E2F" w:rsidRDefault="000B4F52" w:rsidP="005C6941">
      <w:pPr>
        <w:pStyle w:val="NoSpacing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E75E2F">
        <w:rPr>
          <w:rFonts w:ascii="Times New Roman" w:hAnsi="Times New Roman"/>
          <w:b/>
          <w:sz w:val="28"/>
          <w:szCs w:val="28"/>
        </w:rPr>
        <w:t>Показатель №9</w:t>
      </w:r>
    </w:p>
    <w:p w:rsidR="000B4F52" w:rsidRDefault="000B4F52" w:rsidP="005C6941">
      <w:pPr>
        <w:pStyle w:val="NoSpacing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E75E2F">
        <w:rPr>
          <w:rFonts w:ascii="Times New Roman" w:hAnsi="Times New Roman"/>
          <w:b/>
          <w:sz w:val="28"/>
          <w:szCs w:val="28"/>
        </w:rPr>
        <w:t>Доля детей в возрасте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75E2F">
        <w:rPr>
          <w:rFonts w:ascii="Times New Roman" w:hAnsi="Times New Roman"/>
          <w:b/>
          <w:sz w:val="28"/>
          <w:szCs w:val="28"/>
        </w:rPr>
        <w:t>1-6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75E2F">
        <w:rPr>
          <w:rFonts w:ascii="Times New Roman" w:hAnsi="Times New Roman"/>
          <w:b/>
          <w:sz w:val="28"/>
          <w:szCs w:val="28"/>
        </w:rPr>
        <w:t>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75E2F">
        <w:rPr>
          <w:rFonts w:ascii="Times New Roman" w:hAnsi="Times New Roman"/>
          <w:b/>
          <w:sz w:val="28"/>
          <w:szCs w:val="28"/>
        </w:rPr>
        <w:t>1-6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75E2F">
        <w:rPr>
          <w:rFonts w:ascii="Times New Roman" w:hAnsi="Times New Roman"/>
          <w:b/>
          <w:sz w:val="28"/>
          <w:szCs w:val="28"/>
        </w:rPr>
        <w:t>лет</w:t>
      </w:r>
      <w:r>
        <w:rPr>
          <w:rFonts w:ascii="Times New Roman" w:hAnsi="Times New Roman"/>
          <w:b/>
          <w:sz w:val="28"/>
          <w:szCs w:val="28"/>
        </w:rPr>
        <w:t>»</w:t>
      </w:r>
      <w:r w:rsidRPr="00E75E2F">
        <w:rPr>
          <w:rFonts w:ascii="Times New Roman" w:hAnsi="Times New Roman"/>
          <w:b/>
          <w:sz w:val="28"/>
          <w:szCs w:val="28"/>
        </w:rPr>
        <w:t xml:space="preserve"> -</w:t>
      </w:r>
      <w:r>
        <w:rPr>
          <w:rFonts w:ascii="Times New Roman" w:hAnsi="Times New Roman"/>
          <w:b/>
          <w:sz w:val="28"/>
          <w:szCs w:val="28"/>
        </w:rPr>
        <w:t xml:space="preserve"> 56,8 </w:t>
      </w:r>
      <w:r w:rsidRPr="00E75E2F">
        <w:rPr>
          <w:rFonts w:ascii="Times New Roman" w:hAnsi="Times New Roman"/>
          <w:b/>
          <w:sz w:val="28"/>
          <w:szCs w:val="28"/>
        </w:rPr>
        <w:t>%, динамика положительная.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B4F52" w:rsidRPr="00E75E2F" w:rsidRDefault="000B4F52" w:rsidP="005C6941">
      <w:pPr>
        <w:pStyle w:val="NoSpacing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B4F52" w:rsidRDefault="000B4F52" w:rsidP="005C6941">
      <w:pPr>
        <w:pStyle w:val="NoSpacing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Показатель№10</w:t>
      </w:r>
    </w:p>
    <w:p w:rsidR="000B4F52" w:rsidRDefault="000B4F52" w:rsidP="005C6941">
      <w:pPr>
        <w:pStyle w:val="NoSpacing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E75E2F">
        <w:rPr>
          <w:rFonts w:ascii="Times New Roman" w:hAnsi="Times New Roman"/>
          <w:b/>
          <w:sz w:val="28"/>
          <w:szCs w:val="28"/>
        </w:rPr>
        <w:t>Доля детей в возрасте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75E2F">
        <w:rPr>
          <w:rFonts w:ascii="Times New Roman" w:hAnsi="Times New Roman"/>
          <w:b/>
          <w:sz w:val="28"/>
          <w:szCs w:val="28"/>
        </w:rPr>
        <w:t>1-6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75E2F">
        <w:rPr>
          <w:rFonts w:ascii="Times New Roman" w:hAnsi="Times New Roman"/>
          <w:b/>
          <w:sz w:val="28"/>
          <w:szCs w:val="28"/>
        </w:rPr>
        <w:t>лет,</w:t>
      </w:r>
      <w:r>
        <w:rPr>
          <w:rFonts w:ascii="Times New Roman" w:hAnsi="Times New Roman"/>
          <w:b/>
          <w:sz w:val="28"/>
          <w:szCs w:val="28"/>
        </w:rPr>
        <w:t xml:space="preserve"> стоящих на учете для определения в муниципальные дошкольные образовательные учреждения, в общей численности детей в возрасте 1-6 лет» –0%. Динамика положительная.</w:t>
      </w:r>
    </w:p>
    <w:p w:rsidR="000B4F52" w:rsidRDefault="000B4F52" w:rsidP="005C6941">
      <w:pPr>
        <w:pStyle w:val="NoSpacing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0B4F52" w:rsidRDefault="000B4F52" w:rsidP="00175C4A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0B4F52" w:rsidRDefault="000B4F52" w:rsidP="00175C4A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0B4F52" w:rsidRDefault="000B4F52" w:rsidP="005C6941">
      <w:pPr>
        <w:pStyle w:val="NoSpacing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Показатель № 11</w:t>
      </w:r>
    </w:p>
    <w:p w:rsidR="000B4F52" w:rsidRDefault="000B4F52" w:rsidP="005C6941">
      <w:pPr>
        <w:pStyle w:val="NoSpacing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0B4F52" w:rsidRDefault="000B4F52" w:rsidP="00CA206C">
      <w:pPr>
        <w:jc w:val="both"/>
        <w:rPr>
          <w:rFonts w:ascii="Times New Roman" w:hAnsi="Times New Roman"/>
          <w:b/>
          <w:sz w:val="28"/>
          <w:szCs w:val="28"/>
        </w:rPr>
      </w:pPr>
      <w:r w:rsidRPr="009C5F03">
        <w:rPr>
          <w:rFonts w:ascii="Times New Roman" w:hAnsi="Times New Roman"/>
          <w:b/>
          <w:sz w:val="28"/>
          <w:szCs w:val="28"/>
        </w:rPr>
        <w:t>Доля муниципальных дошкольных образовательных учреждений, здания котор</w:t>
      </w:r>
      <w:r>
        <w:rPr>
          <w:rFonts w:ascii="Times New Roman" w:hAnsi="Times New Roman"/>
          <w:b/>
          <w:sz w:val="28"/>
          <w:szCs w:val="28"/>
        </w:rPr>
        <w:t xml:space="preserve">ых находятся  в аварийном </w:t>
      </w:r>
      <w:r w:rsidRPr="009C5F03">
        <w:rPr>
          <w:rFonts w:ascii="Times New Roman" w:hAnsi="Times New Roman"/>
          <w:b/>
          <w:sz w:val="28"/>
          <w:szCs w:val="28"/>
        </w:rPr>
        <w:t xml:space="preserve"> состоянии или требуют    </w:t>
      </w:r>
      <w:r>
        <w:rPr>
          <w:rFonts w:ascii="Times New Roman" w:hAnsi="Times New Roman"/>
          <w:b/>
          <w:sz w:val="28"/>
          <w:szCs w:val="28"/>
        </w:rPr>
        <w:t xml:space="preserve">  капитального ремонта,  в   </w:t>
      </w:r>
      <w:r w:rsidRPr="009C5F03">
        <w:rPr>
          <w:rFonts w:ascii="Times New Roman" w:hAnsi="Times New Roman"/>
          <w:b/>
          <w:sz w:val="28"/>
          <w:szCs w:val="28"/>
        </w:rPr>
        <w:t xml:space="preserve">общем числе муниципальных      дошкольных образовательных      учреждений-0%. </w:t>
      </w:r>
      <w:r w:rsidRPr="00B13D51">
        <w:rPr>
          <w:rFonts w:ascii="Times New Roman" w:hAnsi="Times New Roman"/>
          <w:b/>
          <w:sz w:val="28"/>
          <w:szCs w:val="28"/>
        </w:rPr>
        <w:t>Динамика положительная.</w:t>
      </w:r>
    </w:p>
    <w:p w:rsidR="000B4F52" w:rsidRDefault="000B4F52" w:rsidP="005C6941">
      <w:pPr>
        <w:spacing w:line="240" w:lineRule="auto"/>
        <w:ind w:firstLine="54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B4F52" w:rsidRPr="009C5F03" w:rsidRDefault="000B4F52" w:rsidP="005C6941">
      <w:pPr>
        <w:spacing w:line="240" w:lineRule="auto"/>
        <w:ind w:firstLine="54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B4F52" w:rsidRDefault="000B4F52" w:rsidP="00C5771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Показатель</w:t>
      </w:r>
      <w:r w:rsidRPr="009C5F03">
        <w:rPr>
          <w:rFonts w:ascii="Times New Roman" w:hAnsi="Times New Roman"/>
          <w:b/>
          <w:sz w:val="28"/>
          <w:szCs w:val="28"/>
        </w:rPr>
        <w:t xml:space="preserve">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C5F03">
        <w:rPr>
          <w:rFonts w:ascii="Times New Roman" w:hAnsi="Times New Roman"/>
          <w:b/>
          <w:sz w:val="28"/>
          <w:szCs w:val="28"/>
        </w:rPr>
        <w:t>12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57716">
        <w:rPr>
          <w:rFonts w:ascii="Times New Roman" w:hAnsi="Times New Roman"/>
          <w:b/>
          <w:sz w:val="28"/>
          <w:szCs w:val="28"/>
        </w:rPr>
        <w:t>«</w:t>
      </w:r>
      <w:r w:rsidRPr="00C57716">
        <w:rPr>
          <w:rFonts w:ascii="Times New Roman" w:hAnsi="Times New Roman"/>
          <w:b/>
          <w:color w:val="000000"/>
          <w:sz w:val="28"/>
          <w:szCs w:val="28"/>
        </w:rPr>
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учреждений»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- 0%</w:t>
      </w:r>
      <w:r w:rsidRPr="00C57716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13D51">
        <w:rPr>
          <w:rFonts w:ascii="Times New Roman" w:hAnsi="Times New Roman"/>
          <w:b/>
          <w:sz w:val="28"/>
          <w:szCs w:val="28"/>
        </w:rPr>
        <w:t>Динамика положительная.</w:t>
      </w:r>
    </w:p>
    <w:p w:rsidR="000B4F52" w:rsidRDefault="000B4F52" w:rsidP="00C5771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Показатель</w:t>
      </w:r>
      <w:r w:rsidRPr="009C5F03">
        <w:rPr>
          <w:rFonts w:ascii="Times New Roman" w:hAnsi="Times New Roman"/>
          <w:b/>
          <w:sz w:val="28"/>
          <w:szCs w:val="28"/>
        </w:rPr>
        <w:t xml:space="preserve">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C5F03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3. «</w:t>
      </w:r>
      <w:r w:rsidRPr="00C57716">
        <w:rPr>
          <w:rFonts w:ascii="Times New Roman" w:hAnsi="Times New Roman"/>
          <w:b/>
          <w:color w:val="000000"/>
          <w:sz w:val="28"/>
          <w:szCs w:val="28"/>
        </w:rPr>
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» - 95, 2 %. </w:t>
      </w:r>
      <w:r w:rsidRPr="00B13D51">
        <w:rPr>
          <w:rFonts w:ascii="Times New Roman" w:hAnsi="Times New Roman"/>
          <w:b/>
          <w:sz w:val="28"/>
          <w:szCs w:val="28"/>
        </w:rPr>
        <w:t>Динамика положительная.</w:t>
      </w:r>
    </w:p>
    <w:p w:rsidR="000B4F52" w:rsidRPr="00B77AA8" w:rsidRDefault="000B4F52" w:rsidP="002F7E5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0B4F52" w:rsidRDefault="000B4F52" w:rsidP="005C6941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Показатель№14</w:t>
      </w:r>
    </w:p>
    <w:p w:rsidR="000B4F52" w:rsidRDefault="000B4F52" w:rsidP="009D7C3B">
      <w:pPr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учреждений» -0%.  Динамика положительная.</w:t>
      </w:r>
    </w:p>
    <w:p w:rsidR="000B4F52" w:rsidRPr="003F4480" w:rsidRDefault="000B4F52" w:rsidP="00CA20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B4F52" w:rsidRDefault="000B4F52" w:rsidP="005C6941">
      <w:pPr>
        <w:pStyle w:val="NoSpacing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212121"/>
          <w:sz w:val="28"/>
          <w:szCs w:val="28"/>
          <w:shd w:val="clear" w:color="auto" w:fill="FFFFFF"/>
        </w:rPr>
        <w:t xml:space="preserve">Показатель №15  </w:t>
      </w:r>
      <w:r w:rsidRPr="00CA206C">
        <w:rPr>
          <w:rFonts w:ascii="Times New Roman" w:hAnsi="Times New Roman"/>
          <w:b/>
          <w:color w:val="212121"/>
          <w:sz w:val="28"/>
          <w:szCs w:val="28"/>
          <w:shd w:val="clear" w:color="auto" w:fill="FFFFFF"/>
        </w:rPr>
        <w:t>«</w:t>
      </w:r>
      <w:r w:rsidRPr="00CA206C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Доля детей первой и второй групп здоровья в общей численности, обучающихся в муниципальных      общеобразовательных  учреждениях» </w:t>
      </w:r>
      <w:r w:rsidRPr="007E4BE2">
        <w:rPr>
          <w:rFonts w:ascii="Times New Roman" w:hAnsi="Times New Roman"/>
          <w:sz w:val="28"/>
          <w:szCs w:val="28"/>
          <w:shd w:val="clear" w:color="auto" w:fill="FFFFFF"/>
        </w:rPr>
        <w:t>сохраняется    на уровне  80%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7E4BE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Динамика  не  ухудшается</w:t>
      </w:r>
      <w:r w:rsidRPr="007E4BE2">
        <w:rPr>
          <w:rFonts w:ascii="Times New Roman" w:hAnsi="Times New Roman"/>
          <w:b/>
          <w:sz w:val="28"/>
          <w:szCs w:val="28"/>
        </w:rPr>
        <w:t>.</w:t>
      </w:r>
    </w:p>
    <w:p w:rsidR="000B4F52" w:rsidRPr="004D6FBE" w:rsidRDefault="000B4F52" w:rsidP="005C6941">
      <w:pPr>
        <w:pStyle w:val="NoSpacing"/>
        <w:ind w:firstLine="540"/>
        <w:jc w:val="both"/>
        <w:rPr>
          <w:rFonts w:ascii="Times New Roman" w:hAnsi="Times New Roman"/>
          <w:b/>
          <w:color w:val="212121"/>
          <w:sz w:val="28"/>
          <w:szCs w:val="28"/>
          <w:shd w:val="clear" w:color="auto" w:fill="FFFFFF"/>
        </w:rPr>
      </w:pPr>
    </w:p>
    <w:p w:rsidR="000B4F52" w:rsidRPr="00CA206C" w:rsidRDefault="000B4F52" w:rsidP="00CA206C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shd w:val="clear" w:color="auto" w:fill="FFFFFF"/>
        </w:rPr>
        <w:t xml:space="preserve">           </w:t>
      </w:r>
      <w:r w:rsidRPr="00CA206C">
        <w:rPr>
          <w:rFonts w:ascii="Times New Roman" w:hAnsi="Times New Roman"/>
          <w:b/>
          <w:sz w:val="28"/>
          <w:szCs w:val="28"/>
          <w:shd w:val="clear" w:color="auto" w:fill="FFFFFF"/>
        </w:rPr>
        <w:t>Показатель №16 «</w:t>
      </w:r>
      <w:r w:rsidRPr="00CA206C">
        <w:rPr>
          <w:rFonts w:ascii="Times New Roman" w:hAnsi="Times New Roman"/>
          <w:b/>
          <w:sz w:val="28"/>
          <w:szCs w:val="28"/>
        </w:rPr>
        <w:t>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учреждениях»  - 0%. Динамика положительная.</w:t>
      </w:r>
    </w:p>
    <w:p w:rsidR="000B4F52" w:rsidRDefault="000B4F52" w:rsidP="005C6941">
      <w:pPr>
        <w:pStyle w:val="NoSpacing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0850E8">
        <w:rPr>
          <w:rFonts w:ascii="Times New Roman" w:hAnsi="Times New Roman"/>
          <w:sz w:val="28"/>
          <w:szCs w:val="28"/>
          <w:shd w:val="clear" w:color="auto" w:fill="FFFFFF"/>
        </w:rPr>
        <w:t>Обучение  в образовательных учреждениях  Мелекесского рай</w:t>
      </w:r>
      <w:r>
        <w:rPr>
          <w:rFonts w:ascii="Times New Roman" w:hAnsi="Times New Roman"/>
          <w:sz w:val="28"/>
          <w:szCs w:val="28"/>
          <w:shd w:val="clear" w:color="auto" w:fill="FFFFFF"/>
        </w:rPr>
        <w:t>она  организовано  в одну смену.</w:t>
      </w:r>
      <w:r w:rsidRPr="000850E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0B4F52" w:rsidRPr="004D6FBE" w:rsidRDefault="000B4F52" w:rsidP="005C6941">
      <w:pPr>
        <w:pStyle w:val="NoSpacing"/>
        <w:ind w:firstLine="54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0B4F52" w:rsidRPr="00CC3863" w:rsidRDefault="000B4F52" w:rsidP="00CC3863">
      <w:pPr>
        <w:pStyle w:val="NoSpacing"/>
        <w:ind w:firstLine="54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Показатель №17</w:t>
      </w:r>
      <w:r w:rsidRPr="004D6FBE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 </w:t>
      </w:r>
      <w:r w:rsidRPr="00CC3863">
        <w:rPr>
          <w:rFonts w:ascii="Times New Roman" w:hAnsi="Times New Roman"/>
          <w:b/>
          <w:sz w:val="28"/>
          <w:szCs w:val="28"/>
          <w:shd w:val="clear" w:color="auto" w:fill="FFFFFF"/>
        </w:rPr>
        <w:t>«</w:t>
      </w:r>
      <w:r w:rsidRPr="00CC3863">
        <w:rPr>
          <w:rFonts w:ascii="Times New Roman" w:hAnsi="Times New Roman"/>
          <w:b/>
          <w:sz w:val="28"/>
          <w:szCs w:val="28"/>
        </w:rPr>
        <w:t>Расходы бюджета муниципального образования на общее образование в расчете на 1 обучающегося в муниципальных общеобразовательных учреждениях»</w:t>
      </w:r>
      <w:r>
        <w:rPr>
          <w:rFonts w:ascii="Times New Roman" w:hAnsi="Times New Roman"/>
          <w:b/>
          <w:sz w:val="28"/>
          <w:szCs w:val="28"/>
        </w:rPr>
        <w:t xml:space="preserve"> - 147,7 тыс. руб.</w:t>
      </w:r>
      <w:r w:rsidRPr="00CC3863">
        <w:rPr>
          <w:rFonts w:ascii="Times New Roman" w:hAnsi="Times New Roman"/>
          <w:b/>
          <w:sz w:val="28"/>
          <w:szCs w:val="28"/>
        </w:rPr>
        <w:t xml:space="preserve">. </w:t>
      </w:r>
    </w:p>
    <w:p w:rsidR="000B4F52" w:rsidRDefault="000B4F52" w:rsidP="00CC3863">
      <w:pPr>
        <w:pStyle w:val="NoSpacing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0B4F52" w:rsidRPr="004D6FBE" w:rsidRDefault="000B4F52" w:rsidP="005C6941">
      <w:pPr>
        <w:pStyle w:val="NoSpacing"/>
        <w:ind w:firstLine="54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0B4F52" w:rsidRDefault="000B4F52" w:rsidP="009D7C3B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Показатель№18   </w:t>
      </w:r>
      <w:r w:rsidRPr="00B000AD">
        <w:rPr>
          <w:rFonts w:ascii="Times New Roman" w:hAnsi="Times New Roman"/>
          <w:b/>
          <w:sz w:val="28"/>
          <w:szCs w:val="28"/>
          <w:shd w:val="clear" w:color="auto" w:fill="FFFFFF"/>
        </w:rPr>
        <w:t>«Доля детей в возрасте 5-18 лет, получающих услуги по дополнительному образованию, в общей численности детей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данной возрастной группы» -82,8</w:t>
      </w:r>
      <w:r w:rsidRPr="00B000AD">
        <w:rPr>
          <w:rFonts w:ascii="Times New Roman" w:hAnsi="Times New Roman"/>
          <w:b/>
          <w:sz w:val="28"/>
          <w:szCs w:val="28"/>
          <w:shd w:val="clear" w:color="auto" w:fill="FFFFFF"/>
        </w:rPr>
        <w:t>%.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0B4F52" w:rsidRDefault="000B4F52" w:rsidP="009D7C3B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0B4F52" w:rsidRDefault="000B4F52" w:rsidP="009D7C3B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850E8">
        <w:rPr>
          <w:rFonts w:ascii="Times New Roman" w:hAnsi="Times New Roman"/>
          <w:sz w:val="28"/>
          <w:szCs w:val="28"/>
        </w:rPr>
        <w:t>На территории  муниципального образования «Мелекесский район» функционируют 3 учреждения допол</w:t>
      </w:r>
      <w:r>
        <w:rPr>
          <w:rFonts w:ascii="Times New Roman" w:hAnsi="Times New Roman"/>
          <w:sz w:val="28"/>
          <w:szCs w:val="28"/>
        </w:rPr>
        <w:t xml:space="preserve">нительного  образования детей: </w:t>
      </w:r>
      <w:r w:rsidRPr="000850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0850E8">
        <w:rPr>
          <w:rFonts w:ascii="Times New Roman" w:hAnsi="Times New Roman"/>
          <w:sz w:val="28"/>
          <w:szCs w:val="28"/>
        </w:rPr>
        <w:t>Дом  детского творч</w:t>
      </w:r>
      <w:r>
        <w:rPr>
          <w:rFonts w:ascii="Times New Roman" w:hAnsi="Times New Roman"/>
          <w:sz w:val="28"/>
          <w:szCs w:val="28"/>
        </w:rPr>
        <w:t>ества, Детский оздоровительный л</w:t>
      </w:r>
      <w:r w:rsidRPr="000850E8">
        <w:rPr>
          <w:rFonts w:ascii="Times New Roman" w:hAnsi="Times New Roman"/>
          <w:sz w:val="28"/>
          <w:szCs w:val="28"/>
        </w:rPr>
        <w:t xml:space="preserve">агерь «Звездочка, ДЮСШ.  </w:t>
      </w:r>
    </w:p>
    <w:p w:rsidR="000B4F52" w:rsidRPr="004D6FBE" w:rsidRDefault="000B4F52" w:rsidP="009D7C3B">
      <w:pPr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0B4F52" w:rsidRDefault="000B4F52" w:rsidP="00B000AD">
      <w:pPr>
        <w:ind w:firstLine="540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Культура и спорт</w:t>
      </w:r>
    </w:p>
    <w:p w:rsidR="000B4F52" w:rsidRPr="002441DE" w:rsidRDefault="000B4F52" w:rsidP="006E283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2441DE">
        <w:rPr>
          <w:rFonts w:ascii="Times New Roman" w:hAnsi="Times New Roman"/>
          <w:sz w:val="28"/>
          <w:szCs w:val="28"/>
        </w:rPr>
        <w:t>В  рамках национального проекта «Культура» выполнено:</w:t>
      </w:r>
    </w:p>
    <w:p w:rsidR="000B4F52" w:rsidRPr="002441DE" w:rsidRDefault="000B4F52" w:rsidP="006E283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441DE">
        <w:rPr>
          <w:rFonts w:ascii="Times New Roman" w:hAnsi="Times New Roman"/>
          <w:sz w:val="28"/>
          <w:szCs w:val="28"/>
        </w:rPr>
        <w:t>- по типовому проекту строительство СДК с. Никольское-на-Черемшане со зрительным залом на 300 мест, общей площадью 492,8 м2. Сумма капитальных вложений 27,6 млн.руб., На данный момент приняты 2 специалиста, которые ведут проект «Театр танца»;</w:t>
      </w:r>
    </w:p>
    <w:p w:rsidR="000B4F52" w:rsidRPr="002441DE" w:rsidRDefault="000B4F52" w:rsidP="006E283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441DE">
        <w:rPr>
          <w:rFonts w:ascii="Times New Roman" w:hAnsi="Times New Roman"/>
          <w:sz w:val="28"/>
          <w:szCs w:val="28"/>
        </w:rPr>
        <w:t>- подключение к сети «Интернет» 7 муниципальных общедоступных библиотек, всего подключено 20 библиотек. Полностью завершить процесс планируется к концу 2022 года.</w:t>
      </w:r>
    </w:p>
    <w:p w:rsidR="000B4F52" w:rsidRDefault="000B4F52" w:rsidP="006E283B">
      <w:pPr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0B4F52" w:rsidRDefault="000B4F52" w:rsidP="00F577E4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Показатель №19 </w:t>
      </w:r>
      <w:r w:rsidRPr="00193720">
        <w:rPr>
          <w:rFonts w:ascii="Times New Roman" w:hAnsi="Times New Roman"/>
          <w:sz w:val="28"/>
          <w:szCs w:val="28"/>
        </w:rPr>
        <w:t xml:space="preserve"> </w:t>
      </w:r>
      <w:r w:rsidRPr="00B000AD">
        <w:rPr>
          <w:rFonts w:ascii="Times New Roman" w:hAnsi="Times New Roman"/>
          <w:b/>
          <w:sz w:val="28"/>
          <w:szCs w:val="28"/>
        </w:rPr>
        <w:t xml:space="preserve">«Уровень фактической    обеспеченности   учреждениями      культуры от нормативной       потребности:  клубами   и учреждениями </w:t>
      </w:r>
      <w:r>
        <w:rPr>
          <w:rFonts w:ascii="Times New Roman" w:hAnsi="Times New Roman"/>
          <w:b/>
          <w:sz w:val="28"/>
          <w:szCs w:val="28"/>
        </w:rPr>
        <w:t xml:space="preserve"> -  92%,  библиотеками-144</w:t>
      </w:r>
      <w:r w:rsidRPr="00B000AD">
        <w:rPr>
          <w:rFonts w:ascii="Times New Roman" w:hAnsi="Times New Roman"/>
          <w:b/>
          <w:sz w:val="28"/>
          <w:szCs w:val="28"/>
        </w:rPr>
        <w:t xml:space="preserve">%.». </w:t>
      </w:r>
      <w:r>
        <w:rPr>
          <w:rFonts w:ascii="Times New Roman" w:hAnsi="Times New Roman"/>
          <w:b/>
          <w:sz w:val="28"/>
          <w:szCs w:val="28"/>
        </w:rPr>
        <w:t>Д</w:t>
      </w:r>
      <w:r w:rsidRPr="00B000AD">
        <w:rPr>
          <w:rFonts w:ascii="Times New Roman" w:hAnsi="Times New Roman"/>
          <w:b/>
          <w:sz w:val="28"/>
          <w:szCs w:val="28"/>
        </w:rPr>
        <w:t>инамика положительная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0B4F52" w:rsidRPr="00B000AD" w:rsidRDefault="000B4F52" w:rsidP="009D7C3B">
      <w:pPr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</w:p>
    <w:p w:rsidR="000B4F52" w:rsidRDefault="000B4F52" w:rsidP="009D7C3B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0B4F52" w:rsidRDefault="000B4F52" w:rsidP="009D7C3B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Показатель №20 «</w:t>
      </w:r>
      <w:r w:rsidRPr="00B000AD">
        <w:rPr>
          <w:rFonts w:ascii="Times New Roman" w:hAnsi="Times New Roman"/>
          <w:b/>
          <w:sz w:val="28"/>
          <w:szCs w:val="28"/>
        </w:rPr>
        <w:t>Доля  муниципальных учреждений культуры, здания которых находятся в аварийном состоянии или требуют капитального ремонта, в общем количестве муниципа</w:t>
      </w:r>
      <w:r>
        <w:rPr>
          <w:rFonts w:ascii="Times New Roman" w:hAnsi="Times New Roman"/>
          <w:b/>
          <w:sz w:val="28"/>
          <w:szCs w:val="28"/>
        </w:rPr>
        <w:t xml:space="preserve">льных учреждений культуры» -0 </w:t>
      </w:r>
      <w:r w:rsidRPr="00B000AD">
        <w:rPr>
          <w:rFonts w:ascii="Times New Roman" w:hAnsi="Times New Roman"/>
          <w:b/>
          <w:sz w:val="28"/>
          <w:szCs w:val="28"/>
        </w:rPr>
        <w:t xml:space="preserve">%. </w:t>
      </w:r>
      <w:r>
        <w:rPr>
          <w:rFonts w:ascii="Times New Roman" w:hAnsi="Times New Roman"/>
          <w:b/>
          <w:sz w:val="28"/>
          <w:szCs w:val="28"/>
        </w:rPr>
        <w:t>Д</w:t>
      </w:r>
      <w:r w:rsidRPr="00B000AD">
        <w:rPr>
          <w:rFonts w:ascii="Times New Roman" w:hAnsi="Times New Roman"/>
          <w:b/>
          <w:sz w:val="28"/>
          <w:szCs w:val="28"/>
        </w:rPr>
        <w:t>инамика положительная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0B4F52" w:rsidRDefault="000B4F52" w:rsidP="001D5B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4F52" w:rsidRPr="00EE09B9" w:rsidRDefault="000B4F52" w:rsidP="00EE09B9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Показатель №21 </w:t>
      </w:r>
      <w:r w:rsidRPr="00EE09B9">
        <w:rPr>
          <w:rFonts w:ascii="Times New Roman" w:hAnsi="Times New Roman"/>
          <w:b/>
          <w:sz w:val="28"/>
          <w:szCs w:val="28"/>
        </w:rPr>
        <w:t>«</w:t>
      </w:r>
      <w:r w:rsidRPr="00EE09B9">
        <w:rPr>
          <w:rFonts w:ascii="Times New Roman" w:hAnsi="Times New Roman"/>
          <w:b/>
          <w:color w:val="000000"/>
          <w:sz w:val="28"/>
          <w:szCs w:val="28"/>
        </w:rPr>
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собственности»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-0%.  Динамика положительная.</w:t>
      </w:r>
    </w:p>
    <w:p w:rsidR="000B4F52" w:rsidRDefault="000B4F52" w:rsidP="00EE09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4F52" w:rsidRDefault="000B4F52" w:rsidP="009D7C3B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Показатель №22 «</w:t>
      </w:r>
      <w:r w:rsidRPr="00EE09B9">
        <w:rPr>
          <w:rFonts w:ascii="Times New Roman" w:hAnsi="Times New Roman"/>
          <w:b/>
          <w:sz w:val="28"/>
          <w:szCs w:val="28"/>
        </w:rPr>
        <w:t>Доля населения, систематически занимающегося физической культурой и спортом»</w:t>
      </w:r>
      <w:r>
        <w:rPr>
          <w:rFonts w:ascii="Times New Roman" w:hAnsi="Times New Roman"/>
          <w:b/>
          <w:sz w:val="28"/>
          <w:szCs w:val="28"/>
        </w:rPr>
        <w:t xml:space="preserve"> - 56,0 %, темп  роста к  уровню   прошлого года – 116,2%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Д</w:t>
      </w:r>
      <w:r w:rsidRPr="00976133">
        <w:rPr>
          <w:rFonts w:ascii="Times New Roman" w:hAnsi="Times New Roman"/>
          <w:b/>
          <w:sz w:val="28"/>
          <w:szCs w:val="28"/>
        </w:rPr>
        <w:t>инамика положительная</w:t>
      </w:r>
      <w:r>
        <w:rPr>
          <w:rFonts w:ascii="Times New Roman" w:hAnsi="Times New Roman"/>
          <w:sz w:val="28"/>
          <w:szCs w:val="28"/>
        </w:rPr>
        <w:t>.</w:t>
      </w:r>
    </w:p>
    <w:p w:rsidR="000B4F52" w:rsidRDefault="000B4F52" w:rsidP="009D7C3B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0B4F52" w:rsidRDefault="000B4F52" w:rsidP="00EE09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4F52" w:rsidRPr="00EE09B9" w:rsidRDefault="000B4F52" w:rsidP="00EE09B9">
      <w:pPr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  <w:r w:rsidRPr="00EE09B9">
        <w:rPr>
          <w:rFonts w:ascii="Times New Roman" w:hAnsi="Times New Roman"/>
          <w:b/>
          <w:sz w:val="28"/>
          <w:szCs w:val="28"/>
        </w:rPr>
        <w:t>Показатель №23 «</w:t>
      </w:r>
      <w:r w:rsidRPr="00EE09B9">
        <w:rPr>
          <w:rFonts w:ascii="Times New Roman" w:hAnsi="Times New Roman"/>
          <w:b/>
          <w:color w:val="000000"/>
          <w:sz w:val="28"/>
          <w:szCs w:val="28"/>
        </w:rPr>
        <w:t xml:space="preserve">Доля обучающихся, систематически занимающихся физической культурой и спортом, в общей численности обучающихся» - 100%. </w:t>
      </w:r>
      <w:r w:rsidRPr="00EE09B9">
        <w:rPr>
          <w:rFonts w:ascii="Times New Roman" w:hAnsi="Times New Roman"/>
          <w:b/>
          <w:sz w:val="28"/>
          <w:szCs w:val="28"/>
        </w:rPr>
        <w:t>Динамика положительная.</w:t>
      </w:r>
    </w:p>
    <w:p w:rsidR="000B4F52" w:rsidRDefault="000B4F52" w:rsidP="009D7C3B">
      <w:pPr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</w:p>
    <w:p w:rsidR="000B4F52" w:rsidRDefault="000B4F52" w:rsidP="009D7C3B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341038">
        <w:rPr>
          <w:rFonts w:ascii="Times New Roman" w:hAnsi="Times New Roman"/>
          <w:b/>
          <w:sz w:val="28"/>
          <w:szCs w:val="28"/>
        </w:rPr>
        <w:t>Жилищное строительство и</w:t>
      </w:r>
      <w:r>
        <w:rPr>
          <w:rFonts w:ascii="Times New Roman" w:hAnsi="Times New Roman"/>
          <w:b/>
          <w:sz w:val="28"/>
          <w:szCs w:val="28"/>
        </w:rPr>
        <w:t xml:space="preserve"> обеспечение граждан жильем.</w:t>
      </w:r>
    </w:p>
    <w:p w:rsidR="000B4F52" w:rsidRDefault="000B4F52" w:rsidP="009D7C3B">
      <w:pPr>
        <w:pStyle w:val="NoSpacing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0B4F52" w:rsidRDefault="000B4F52" w:rsidP="009D7C3B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E186D">
        <w:rPr>
          <w:rFonts w:ascii="Times New Roman" w:hAnsi="Times New Roman"/>
          <w:sz w:val="28"/>
          <w:szCs w:val="28"/>
        </w:rPr>
        <w:t xml:space="preserve"> </w:t>
      </w:r>
      <w:r w:rsidRPr="001F7A77">
        <w:rPr>
          <w:rFonts w:ascii="Times New Roman" w:hAnsi="Times New Roman"/>
          <w:b/>
          <w:sz w:val="28"/>
          <w:szCs w:val="28"/>
        </w:rPr>
        <w:t>Показатель №24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18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1F7A77">
        <w:rPr>
          <w:rFonts w:ascii="Times New Roman" w:hAnsi="Times New Roman"/>
          <w:b/>
          <w:sz w:val="28"/>
          <w:szCs w:val="28"/>
        </w:rPr>
        <w:t>Общая площадь  жилых  помещений приходящихся    в среднем  на 1  жи</w:t>
      </w:r>
      <w:r>
        <w:rPr>
          <w:rFonts w:ascii="Times New Roman" w:hAnsi="Times New Roman"/>
          <w:b/>
          <w:sz w:val="28"/>
          <w:szCs w:val="28"/>
        </w:rPr>
        <w:t xml:space="preserve">теля « составила  по  итогам 2020 </w:t>
      </w:r>
      <w:r w:rsidRPr="001F7A77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 xml:space="preserve">.  29,7 </w:t>
      </w:r>
      <w:r w:rsidRPr="001F7A77">
        <w:rPr>
          <w:rFonts w:ascii="Times New Roman" w:hAnsi="Times New Roman"/>
          <w:b/>
          <w:sz w:val="28"/>
          <w:szCs w:val="28"/>
        </w:rPr>
        <w:t>кв. м.,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F7A77">
        <w:rPr>
          <w:rFonts w:ascii="Times New Roman" w:hAnsi="Times New Roman"/>
          <w:b/>
          <w:sz w:val="28"/>
          <w:szCs w:val="28"/>
        </w:rPr>
        <w:t xml:space="preserve">что выше уровня предыдущего года на </w:t>
      </w:r>
      <w:r>
        <w:rPr>
          <w:rFonts w:ascii="Times New Roman" w:hAnsi="Times New Roman"/>
          <w:b/>
          <w:sz w:val="28"/>
          <w:szCs w:val="28"/>
        </w:rPr>
        <w:t xml:space="preserve">103,0%. </w:t>
      </w:r>
      <w:r w:rsidRPr="001F7A77">
        <w:rPr>
          <w:rFonts w:ascii="Times New Roman" w:hAnsi="Times New Roman"/>
          <w:b/>
          <w:sz w:val="28"/>
          <w:szCs w:val="28"/>
        </w:rPr>
        <w:t>Сохраняется  тенденция ежегодного роста   введения  в действие жилья  в расчете на 1</w:t>
      </w:r>
      <w:r>
        <w:rPr>
          <w:rFonts w:ascii="Times New Roman" w:hAnsi="Times New Roman"/>
          <w:b/>
          <w:sz w:val="28"/>
          <w:szCs w:val="28"/>
        </w:rPr>
        <w:t xml:space="preserve"> жителя:  в 2020 </w:t>
      </w:r>
      <w:r w:rsidRPr="001F7A77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>.</w:t>
      </w:r>
      <w:r w:rsidRPr="001F7A77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составил 1,1 </w:t>
      </w:r>
      <w:r w:rsidRPr="001F7A77">
        <w:rPr>
          <w:rFonts w:ascii="Times New Roman" w:hAnsi="Times New Roman"/>
          <w:b/>
          <w:sz w:val="28"/>
          <w:szCs w:val="28"/>
        </w:rPr>
        <w:t>кв. м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E186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0B4F52" w:rsidRDefault="000B4F52" w:rsidP="009D7C3B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0B4F52" w:rsidRDefault="000B4F52" w:rsidP="001D5B0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4F52" w:rsidRDefault="000B4F52" w:rsidP="005726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4F52" w:rsidRPr="008A1EB1" w:rsidRDefault="000B4F52" w:rsidP="008A1EB1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8A1EB1">
        <w:rPr>
          <w:rFonts w:ascii="Times New Roman" w:hAnsi="Times New Roman"/>
          <w:b/>
          <w:sz w:val="28"/>
          <w:szCs w:val="28"/>
        </w:rPr>
        <w:t>Показатели №25 «</w:t>
      </w:r>
      <w:r w:rsidRPr="008A1EB1">
        <w:rPr>
          <w:rFonts w:ascii="Times New Roman" w:hAnsi="Times New Roman"/>
          <w:b/>
          <w:color w:val="000000"/>
          <w:sz w:val="28"/>
          <w:szCs w:val="28"/>
        </w:rPr>
        <w:t xml:space="preserve">Площадь земельных участков, предоставленных для строительства в расчете на 10 тыс. человек населения» и </w:t>
      </w:r>
      <w:r w:rsidRPr="008A1EB1">
        <w:rPr>
          <w:rFonts w:ascii="Times New Roman" w:hAnsi="Times New Roman"/>
          <w:b/>
          <w:sz w:val="28"/>
          <w:szCs w:val="28"/>
        </w:rPr>
        <w:t xml:space="preserve"> №26 «</w:t>
      </w:r>
      <w:r w:rsidRPr="008A1EB1">
        <w:rPr>
          <w:rFonts w:ascii="Times New Roman" w:hAnsi="Times New Roman"/>
          <w:b/>
          <w:color w:val="000000"/>
          <w:sz w:val="28"/>
          <w:szCs w:val="28"/>
        </w:rPr>
        <w:t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</w:t>
      </w:r>
      <w:r>
        <w:rPr>
          <w:rFonts w:ascii="Times New Roman" w:hAnsi="Times New Roman"/>
          <w:b/>
          <w:color w:val="000000"/>
          <w:sz w:val="28"/>
          <w:szCs w:val="28"/>
        </w:rPr>
        <w:t>» имеют  положительную динамику.</w:t>
      </w:r>
    </w:p>
    <w:p w:rsidR="000B4F52" w:rsidRDefault="000B4F52" w:rsidP="008A1EB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4F52" w:rsidRPr="006A4148" w:rsidRDefault="000B4F52" w:rsidP="009D7C3B">
      <w:pPr>
        <w:shd w:val="clear" w:color="auto" w:fill="FFFFFF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Жилищно-коммунальное хозяйство.</w:t>
      </w:r>
    </w:p>
    <w:p w:rsidR="000B4F52" w:rsidRDefault="000B4F52" w:rsidP="005C6941">
      <w:pPr>
        <w:pStyle w:val="NoSpacing"/>
        <w:ind w:firstLine="540"/>
        <w:jc w:val="both"/>
        <w:rPr>
          <w:rFonts w:ascii="Times New Roman" w:hAnsi="Times New Roman"/>
          <w:b/>
          <w:color w:val="212121"/>
          <w:sz w:val="28"/>
          <w:szCs w:val="28"/>
        </w:rPr>
      </w:pPr>
    </w:p>
    <w:p w:rsidR="000B4F52" w:rsidRDefault="000B4F52" w:rsidP="008A1EB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Показатель №27</w:t>
      </w:r>
      <w:r w:rsidRPr="008A1EB1">
        <w:rPr>
          <w:color w:val="000000"/>
        </w:rPr>
        <w:t xml:space="preserve"> </w:t>
      </w:r>
      <w:r w:rsidRPr="008A1EB1">
        <w:rPr>
          <w:rFonts w:ascii="Times New Roman" w:hAnsi="Times New Roman"/>
          <w:b/>
          <w:color w:val="000000"/>
          <w:sz w:val="28"/>
          <w:szCs w:val="28"/>
        </w:rPr>
        <w:t>«Доля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домами»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- 100 %.  </w:t>
      </w:r>
      <w:r w:rsidRPr="002C7CDD">
        <w:rPr>
          <w:rFonts w:ascii="Times New Roman" w:hAnsi="Times New Roman"/>
          <w:b/>
          <w:sz w:val="28"/>
          <w:szCs w:val="28"/>
        </w:rPr>
        <w:t>Динамика положительная.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B4F52" w:rsidRPr="009F7C5B" w:rsidRDefault="000B4F52" w:rsidP="009F7C5B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0B4F52" w:rsidRDefault="000B4F52" w:rsidP="008A1EB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2C7CDD">
        <w:rPr>
          <w:rFonts w:ascii="Times New Roman" w:hAnsi="Times New Roman"/>
          <w:b/>
          <w:sz w:val="28"/>
          <w:szCs w:val="28"/>
        </w:rPr>
        <w:t>Показатель №28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A1EB1">
        <w:rPr>
          <w:rFonts w:ascii="Times New Roman" w:hAnsi="Times New Roman"/>
          <w:b/>
          <w:sz w:val="28"/>
          <w:szCs w:val="28"/>
        </w:rPr>
        <w:t>«</w:t>
      </w:r>
      <w:r w:rsidRPr="008A1EB1">
        <w:rPr>
          <w:rFonts w:ascii="Times New Roman" w:hAnsi="Times New Roman"/>
          <w:b/>
          <w:color w:val="000000"/>
          <w:sz w:val="28"/>
          <w:szCs w:val="28"/>
        </w:rPr>
        <w:t xml:space="preserve">Доля организаций коммунального комплекса, 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 (муниципального района)»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-   100,0 %. </w:t>
      </w:r>
      <w:r>
        <w:rPr>
          <w:rFonts w:ascii="Times New Roman" w:hAnsi="Times New Roman"/>
          <w:b/>
          <w:sz w:val="28"/>
          <w:szCs w:val="28"/>
        </w:rPr>
        <w:t xml:space="preserve">Динамика положительная. </w:t>
      </w:r>
    </w:p>
    <w:p w:rsidR="000B4F52" w:rsidRPr="008A1EB1" w:rsidRDefault="000B4F52" w:rsidP="008A1EB1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</w:t>
      </w:r>
    </w:p>
    <w:p w:rsidR="000B4F52" w:rsidRPr="008A1EB1" w:rsidRDefault="000B4F52" w:rsidP="008A1EB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A52CC7">
        <w:rPr>
          <w:rFonts w:ascii="Times New Roman" w:hAnsi="Times New Roman"/>
          <w:b/>
          <w:sz w:val="28"/>
          <w:szCs w:val="28"/>
        </w:rPr>
        <w:t>Показатель №29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A1EB1">
        <w:rPr>
          <w:rFonts w:ascii="Times New Roman" w:hAnsi="Times New Roman"/>
          <w:b/>
          <w:sz w:val="28"/>
          <w:szCs w:val="28"/>
        </w:rPr>
        <w:t>«</w:t>
      </w:r>
      <w:r w:rsidRPr="008A1EB1">
        <w:rPr>
          <w:rFonts w:ascii="Times New Roman" w:hAnsi="Times New Roman"/>
          <w:b/>
          <w:color w:val="000000"/>
          <w:sz w:val="28"/>
          <w:szCs w:val="28"/>
        </w:rPr>
        <w:t>Доля многоквартирных домов, расположенных на земельных участках, в отношении которых осуществлен государственный кадастровый учет»</w:t>
      </w:r>
      <w:r>
        <w:rPr>
          <w:color w:val="000000"/>
        </w:rPr>
        <w:t xml:space="preserve">  </w:t>
      </w:r>
      <w:r>
        <w:rPr>
          <w:rFonts w:ascii="Times New Roman" w:hAnsi="Times New Roman"/>
          <w:b/>
          <w:color w:val="000000"/>
          <w:sz w:val="28"/>
          <w:szCs w:val="28"/>
        </w:rPr>
        <w:t>- 95,0</w:t>
      </w:r>
      <w:r w:rsidRPr="008A1EB1">
        <w:rPr>
          <w:rFonts w:ascii="Times New Roman" w:hAnsi="Times New Roman"/>
          <w:b/>
          <w:color w:val="000000"/>
          <w:sz w:val="28"/>
          <w:szCs w:val="28"/>
        </w:rPr>
        <w:t xml:space="preserve">%.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Темп роста  к уровню   прошлого года – 106,7 %. </w:t>
      </w:r>
      <w:r w:rsidRPr="00A52CC7">
        <w:rPr>
          <w:rFonts w:ascii="Times New Roman" w:hAnsi="Times New Roman"/>
          <w:b/>
          <w:sz w:val="28"/>
          <w:szCs w:val="28"/>
        </w:rPr>
        <w:t>Динамика положительная.</w:t>
      </w:r>
    </w:p>
    <w:p w:rsidR="000B4F52" w:rsidRPr="0017380C" w:rsidRDefault="000B4F52" w:rsidP="005C694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B4F52" w:rsidRPr="008A1EB1" w:rsidRDefault="000B4F52" w:rsidP="008A1EB1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A1EB1">
        <w:rPr>
          <w:rFonts w:ascii="Times New Roman" w:hAnsi="Times New Roman"/>
          <w:b/>
          <w:sz w:val="28"/>
          <w:szCs w:val="28"/>
        </w:rPr>
        <w:t xml:space="preserve">             Показатель №30  «Доля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</w:t>
      </w:r>
      <w:r>
        <w:rPr>
          <w:rFonts w:ascii="Times New Roman" w:hAnsi="Times New Roman"/>
          <w:b/>
          <w:sz w:val="28"/>
          <w:szCs w:val="28"/>
        </w:rPr>
        <w:t>егося в жилых помещениях» - 52,8</w:t>
      </w:r>
      <w:r w:rsidRPr="008A1EB1">
        <w:rPr>
          <w:rFonts w:ascii="Times New Roman" w:hAnsi="Times New Roman"/>
          <w:b/>
          <w:sz w:val="28"/>
          <w:szCs w:val="28"/>
        </w:rPr>
        <w:t xml:space="preserve"> %, темп  роста  к уровню прошлог</w:t>
      </w:r>
      <w:r>
        <w:rPr>
          <w:rFonts w:ascii="Times New Roman" w:hAnsi="Times New Roman"/>
          <w:b/>
          <w:sz w:val="28"/>
          <w:szCs w:val="28"/>
        </w:rPr>
        <w:t>о года – 107,1</w:t>
      </w:r>
      <w:r w:rsidRPr="008A1EB1">
        <w:rPr>
          <w:rFonts w:ascii="Times New Roman" w:hAnsi="Times New Roman"/>
          <w:b/>
          <w:sz w:val="28"/>
          <w:szCs w:val="28"/>
        </w:rPr>
        <w:t xml:space="preserve">%. Динамика положительная. </w:t>
      </w:r>
    </w:p>
    <w:p w:rsidR="000B4F52" w:rsidRDefault="000B4F52" w:rsidP="008A1EB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B4F52" w:rsidRDefault="000B4F52" w:rsidP="009D7C3B">
      <w:pPr>
        <w:pStyle w:val="NoSpacing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113393">
        <w:rPr>
          <w:rFonts w:ascii="Times New Roman" w:hAnsi="Times New Roman"/>
          <w:b/>
          <w:sz w:val="28"/>
          <w:szCs w:val="28"/>
        </w:rPr>
        <w:t>Организация муниципального управления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0B4F52" w:rsidRDefault="000B4F52" w:rsidP="009D7C3B">
      <w:pPr>
        <w:pStyle w:val="NoSpacing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0B4F52" w:rsidRPr="00B513C2" w:rsidRDefault="000B4F52" w:rsidP="005C6941">
      <w:pPr>
        <w:pStyle w:val="NoSpacing"/>
        <w:ind w:firstLine="540"/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b/>
          <w:color w:val="212121"/>
          <w:sz w:val="28"/>
          <w:szCs w:val="28"/>
        </w:rPr>
        <w:t xml:space="preserve">      </w:t>
      </w:r>
    </w:p>
    <w:p w:rsidR="000B4F52" w:rsidRPr="008A1EB1" w:rsidRDefault="000B4F52" w:rsidP="001E785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8A1EB1">
        <w:rPr>
          <w:rFonts w:ascii="Times New Roman" w:hAnsi="Times New Roman"/>
          <w:b/>
          <w:sz w:val="28"/>
          <w:szCs w:val="28"/>
        </w:rPr>
        <w:t>Показатель №31. «Доля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</w:t>
      </w:r>
      <w:r>
        <w:rPr>
          <w:rFonts w:ascii="Times New Roman" w:hAnsi="Times New Roman"/>
          <w:b/>
          <w:sz w:val="28"/>
          <w:szCs w:val="28"/>
        </w:rPr>
        <w:t>ния (без учета субвенций)»  - 46,2</w:t>
      </w:r>
      <w:r w:rsidRPr="008A1EB1">
        <w:rPr>
          <w:rFonts w:ascii="Times New Roman" w:hAnsi="Times New Roman"/>
          <w:b/>
          <w:sz w:val="28"/>
          <w:szCs w:val="28"/>
        </w:rPr>
        <w:t xml:space="preserve">%. </w:t>
      </w:r>
    </w:p>
    <w:p w:rsidR="000B4F52" w:rsidRPr="00EF342A" w:rsidRDefault="000B4F52" w:rsidP="00EF342A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915F26">
        <w:rPr>
          <w:rFonts w:ascii="Times New Roman" w:hAnsi="Times New Roman"/>
          <w:b/>
          <w:sz w:val="28"/>
          <w:szCs w:val="28"/>
        </w:rPr>
        <w:t>Показатель №32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F342A">
        <w:rPr>
          <w:rFonts w:ascii="Times New Roman" w:hAnsi="Times New Roman"/>
          <w:b/>
          <w:sz w:val="28"/>
          <w:szCs w:val="28"/>
        </w:rPr>
        <w:t>«</w:t>
      </w:r>
      <w:r w:rsidRPr="00EF342A">
        <w:rPr>
          <w:rFonts w:ascii="Times New Roman" w:hAnsi="Times New Roman"/>
          <w:b/>
          <w:color w:val="000000"/>
          <w:sz w:val="28"/>
          <w:szCs w:val="28"/>
        </w:rPr>
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</w:t>
      </w:r>
      <w:r>
        <w:rPr>
          <w:rFonts w:ascii="Times New Roman" w:hAnsi="Times New Roman"/>
          <w:b/>
          <w:color w:val="000000"/>
          <w:sz w:val="28"/>
          <w:szCs w:val="28"/>
        </w:rPr>
        <w:t>о полной учетной стоимости)»  -</w:t>
      </w:r>
      <w:r w:rsidRPr="00EF342A">
        <w:rPr>
          <w:rFonts w:ascii="Times New Roman" w:hAnsi="Times New Roman"/>
          <w:b/>
          <w:color w:val="000000"/>
          <w:sz w:val="28"/>
          <w:szCs w:val="28"/>
        </w:rPr>
        <w:t xml:space="preserve">0 %. Динамика  положительная. </w:t>
      </w:r>
    </w:p>
    <w:p w:rsidR="000B4F52" w:rsidRPr="009513FC" w:rsidRDefault="000B4F52" w:rsidP="0039373F">
      <w:pPr>
        <w:pStyle w:val="NoSpacing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B4F52" w:rsidRPr="00EF342A" w:rsidRDefault="000B4F52" w:rsidP="00EF342A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EF342A">
        <w:rPr>
          <w:rFonts w:ascii="Times New Roman" w:hAnsi="Times New Roman"/>
          <w:b/>
          <w:sz w:val="28"/>
          <w:szCs w:val="28"/>
        </w:rPr>
        <w:t>Показатель №33 «</w:t>
      </w:r>
      <w:r w:rsidRPr="00EF342A">
        <w:rPr>
          <w:rFonts w:ascii="Times New Roman" w:hAnsi="Times New Roman"/>
          <w:b/>
          <w:color w:val="000000"/>
          <w:sz w:val="28"/>
          <w:szCs w:val="28"/>
        </w:rPr>
        <w:t>Объем не завершенного в установленные сроки строительства, осуществляемого за счет средств бюджета городского округа (муниципального района)» - 0%. Динамика  положительная.</w:t>
      </w:r>
    </w:p>
    <w:p w:rsidR="000B4F52" w:rsidRDefault="000B4F52" w:rsidP="0039373F">
      <w:pPr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</w:p>
    <w:p w:rsidR="000B4F52" w:rsidRPr="00915F26" w:rsidRDefault="000B4F52" w:rsidP="00EF342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B4F52" w:rsidRDefault="000B4F52" w:rsidP="00EF342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B42E40">
        <w:rPr>
          <w:rFonts w:ascii="Times New Roman" w:hAnsi="Times New Roman"/>
          <w:b/>
          <w:sz w:val="28"/>
          <w:szCs w:val="28"/>
        </w:rPr>
        <w:t>Показатель №</w:t>
      </w:r>
      <w:r>
        <w:rPr>
          <w:rFonts w:ascii="Times New Roman" w:hAnsi="Times New Roman"/>
          <w:b/>
          <w:sz w:val="28"/>
          <w:szCs w:val="28"/>
        </w:rPr>
        <w:t>3</w:t>
      </w:r>
      <w:r w:rsidRPr="00B42E40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F342A">
        <w:rPr>
          <w:rFonts w:ascii="Times New Roman" w:hAnsi="Times New Roman"/>
          <w:b/>
          <w:sz w:val="28"/>
          <w:szCs w:val="28"/>
        </w:rPr>
        <w:t>«</w:t>
      </w:r>
      <w:r w:rsidRPr="00EF342A">
        <w:rPr>
          <w:rFonts w:ascii="Times New Roman" w:hAnsi="Times New Roman"/>
          <w:b/>
          <w:color w:val="000000"/>
          <w:sz w:val="28"/>
          <w:szCs w:val="28"/>
        </w:rPr>
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</w:t>
      </w:r>
      <w:r>
        <w:rPr>
          <w:rFonts w:ascii="Times New Roman" w:hAnsi="Times New Roman"/>
          <w:b/>
          <w:color w:val="000000"/>
          <w:sz w:val="28"/>
          <w:szCs w:val="28"/>
        </w:rPr>
        <w:t>ачисления на оплату труда)»  - 3,2</w:t>
      </w:r>
      <w:r w:rsidRPr="00EF342A">
        <w:rPr>
          <w:rFonts w:ascii="Times New Roman" w:hAnsi="Times New Roman"/>
          <w:b/>
          <w:color w:val="000000"/>
          <w:sz w:val="28"/>
          <w:szCs w:val="28"/>
        </w:rPr>
        <w:t>%</w:t>
      </w:r>
      <w:r>
        <w:rPr>
          <w:rFonts w:ascii="Times New Roman" w:hAnsi="Times New Roman"/>
          <w:b/>
          <w:color w:val="000000"/>
          <w:sz w:val="28"/>
          <w:szCs w:val="28"/>
        </w:rPr>
        <w:t>, сокращение  на 15,8 %</w:t>
      </w:r>
      <w:r w:rsidRPr="00EF342A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Динамика положительная.          </w:t>
      </w:r>
    </w:p>
    <w:p w:rsidR="000B4F52" w:rsidRPr="001E7859" w:rsidRDefault="000B4F52" w:rsidP="00EF34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B42E40">
        <w:rPr>
          <w:rFonts w:ascii="Times New Roman" w:hAnsi="Times New Roman"/>
          <w:b/>
          <w:sz w:val="28"/>
          <w:szCs w:val="28"/>
        </w:rPr>
        <w:t>Показатель №35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F342A">
        <w:rPr>
          <w:rFonts w:ascii="Times New Roman" w:hAnsi="Times New Roman"/>
          <w:b/>
          <w:sz w:val="28"/>
          <w:szCs w:val="28"/>
        </w:rPr>
        <w:t>«</w:t>
      </w:r>
      <w:r w:rsidRPr="00EF342A">
        <w:rPr>
          <w:rFonts w:ascii="Times New Roman" w:hAnsi="Times New Roman"/>
          <w:b/>
          <w:color w:val="000000"/>
          <w:sz w:val="28"/>
          <w:szCs w:val="28"/>
        </w:rPr>
        <w:t xml:space="preserve"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образования»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 итогам 2020 </w:t>
      </w:r>
      <w:r w:rsidRPr="009513FC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 w:rsidRPr="009513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составил  2166,6 </w:t>
      </w:r>
      <w:r w:rsidRPr="009513FC">
        <w:rPr>
          <w:rFonts w:ascii="Times New Roman" w:hAnsi="Times New Roman"/>
          <w:sz w:val="28"/>
          <w:szCs w:val="28"/>
        </w:rPr>
        <w:t>руб.</w:t>
      </w:r>
      <w:r>
        <w:rPr>
          <w:rFonts w:ascii="Times New Roman" w:hAnsi="Times New Roman"/>
          <w:sz w:val="28"/>
          <w:szCs w:val="28"/>
        </w:rPr>
        <w:t xml:space="preserve">  Рост связан  с тем, что в 2020 </w:t>
      </w:r>
      <w:r w:rsidRPr="009513FC">
        <w:rPr>
          <w:rFonts w:ascii="Times New Roman" w:hAnsi="Times New Roman"/>
          <w:sz w:val="28"/>
          <w:szCs w:val="28"/>
        </w:rPr>
        <w:t xml:space="preserve">  оплачена  кредиторская задолженность по отчислениям  в</w:t>
      </w:r>
      <w:r>
        <w:rPr>
          <w:rFonts w:ascii="Times New Roman" w:hAnsi="Times New Roman"/>
          <w:sz w:val="28"/>
          <w:szCs w:val="28"/>
        </w:rPr>
        <w:t>о внебюджетные фонды.</w:t>
      </w:r>
    </w:p>
    <w:p w:rsidR="000B4F52" w:rsidRPr="00B42E40" w:rsidRDefault="000B4F52" w:rsidP="009D7C3B">
      <w:pPr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</w:p>
    <w:p w:rsidR="000B4F52" w:rsidRPr="006E2412" w:rsidRDefault="000B4F52" w:rsidP="006E2412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B42E40">
        <w:rPr>
          <w:rFonts w:ascii="Times New Roman" w:hAnsi="Times New Roman"/>
          <w:b/>
          <w:sz w:val="28"/>
          <w:szCs w:val="28"/>
        </w:rPr>
        <w:t>Показатель №36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6E2412">
        <w:rPr>
          <w:rFonts w:ascii="Times New Roman" w:hAnsi="Times New Roman"/>
          <w:b/>
          <w:sz w:val="28"/>
          <w:szCs w:val="28"/>
        </w:rPr>
        <w:t>«</w:t>
      </w:r>
      <w:r w:rsidRPr="006E2412">
        <w:rPr>
          <w:rFonts w:ascii="Times New Roman" w:hAnsi="Times New Roman"/>
          <w:b/>
          <w:color w:val="000000"/>
          <w:sz w:val="28"/>
          <w:szCs w:val="28"/>
        </w:rPr>
        <w:t>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района)»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0B4F52" w:rsidRDefault="000B4F52" w:rsidP="006E24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B4F52" w:rsidRDefault="000B4F52" w:rsidP="009D7C3B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9513FC">
        <w:rPr>
          <w:rFonts w:ascii="Times New Roman" w:hAnsi="Times New Roman"/>
          <w:sz w:val="28"/>
          <w:szCs w:val="28"/>
        </w:rPr>
        <w:t xml:space="preserve">окументы </w:t>
      </w:r>
      <w:r>
        <w:rPr>
          <w:rFonts w:ascii="Times New Roman" w:hAnsi="Times New Roman"/>
          <w:sz w:val="28"/>
          <w:szCs w:val="28"/>
        </w:rPr>
        <w:t xml:space="preserve">территориального планирования </w:t>
      </w:r>
      <w:r w:rsidRPr="009513FC">
        <w:rPr>
          <w:rFonts w:ascii="Times New Roman" w:hAnsi="Times New Roman"/>
          <w:sz w:val="28"/>
          <w:szCs w:val="28"/>
        </w:rPr>
        <w:t xml:space="preserve"> МО «Мелекесский район»  утверждены.</w:t>
      </w:r>
    </w:p>
    <w:p w:rsidR="000B4F52" w:rsidRDefault="000B4F52" w:rsidP="009D7C3B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0B4F52" w:rsidRDefault="000B4F52" w:rsidP="009D7C3B">
      <w:pPr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  <w:r w:rsidRPr="006E2412">
        <w:rPr>
          <w:rFonts w:ascii="Times New Roman" w:hAnsi="Times New Roman"/>
          <w:b/>
          <w:sz w:val="28"/>
          <w:szCs w:val="28"/>
        </w:rPr>
        <w:t xml:space="preserve">Показатель №37 «Удовлетворенность населения деятельностью органов местного самоуправления  от числа, опрошенных муниципального района, %». </w:t>
      </w:r>
      <w:r>
        <w:rPr>
          <w:rFonts w:ascii="Times New Roman" w:hAnsi="Times New Roman"/>
          <w:b/>
          <w:sz w:val="28"/>
          <w:szCs w:val="28"/>
        </w:rPr>
        <w:t xml:space="preserve">  Данный  показатель составил 96,7 %. </w:t>
      </w:r>
    </w:p>
    <w:p w:rsidR="000B4F52" w:rsidRDefault="000B4F52" w:rsidP="009D7C3B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B4F52" w:rsidRDefault="000B4F52" w:rsidP="00AC5CE2">
      <w:pPr>
        <w:pStyle w:val="NoSpacing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 xml:space="preserve"> </w:t>
      </w:r>
      <w:r w:rsidRPr="00780005">
        <w:rPr>
          <w:rFonts w:ascii="Times New Roman" w:hAnsi="Times New Roman"/>
          <w:color w:val="212121"/>
          <w:sz w:val="28"/>
          <w:szCs w:val="28"/>
        </w:rPr>
        <w:t>Определяя приоритетные направления развития района и соответственно направления финансирования на краткосрочную и долгосрочную перспективу, одним из определяющих факторов является мнение населения.</w:t>
      </w:r>
      <w:r>
        <w:rPr>
          <w:rFonts w:ascii="Times New Roman" w:hAnsi="Times New Roman"/>
          <w:color w:val="212121"/>
          <w:sz w:val="28"/>
          <w:szCs w:val="28"/>
        </w:rPr>
        <w:t xml:space="preserve"> </w:t>
      </w:r>
      <w:r w:rsidRPr="00780005">
        <w:rPr>
          <w:rFonts w:ascii="Times New Roman" w:hAnsi="Times New Roman"/>
          <w:color w:val="212121"/>
          <w:sz w:val="28"/>
          <w:szCs w:val="28"/>
        </w:rPr>
        <w:t xml:space="preserve"> </w:t>
      </w:r>
      <w:r w:rsidRPr="00780005">
        <w:rPr>
          <w:rFonts w:ascii="Times New Roman" w:hAnsi="Times New Roman"/>
          <w:sz w:val="28"/>
          <w:szCs w:val="28"/>
        </w:rPr>
        <w:t xml:space="preserve">Для реализации конституционного права граждан на обращение в органы власти действует система выездных личных приемов граждан должностными лицами администрации района.  </w:t>
      </w:r>
    </w:p>
    <w:p w:rsidR="000B4F52" w:rsidRPr="002441DE" w:rsidRDefault="000B4F52" w:rsidP="001E785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2441DE">
        <w:rPr>
          <w:rFonts w:ascii="Times New Roman" w:hAnsi="Times New Roman"/>
          <w:sz w:val="28"/>
          <w:szCs w:val="28"/>
        </w:rPr>
        <w:t xml:space="preserve">За  </w:t>
      </w:r>
      <w:r>
        <w:rPr>
          <w:rFonts w:ascii="Times New Roman" w:hAnsi="Times New Roman"/>
          <w:sz w:val="28"/>
          <w:szCs w:val="28"/>
        </w:rPr>
        <w:t xml:space="preserve">прошлый </w:t>
      </w:r>
      <w:r w:rsidRPr="002441DE">
        <w:rPr>
          <w:rFonts w:ascii="Times New Roman" w:hAnsi="Times New Roman"/>
          <w:sz w:val="28"/>
          <w:szCs w:val="28"/>
        </w:rPr>
        <w:t xml:space="preserve"> год в  администрацию района поступило 246 письменных и устных обращений по вопросам:</w:t>
      </w:r>
    </w:p>
    <w:p w:rsidR="000B4F52" w:rsidRPr="002441DE" w:rsidRDefault="000B4F52" w:rsidP="001E785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441DE">
        <w:rPr>
          <w:rFonts w:ascii="Times New Roman" w:hAnsi="Times New Roman"/>
          <w:sz w:val="28"/>
          <w:szCs w:val="28"/>
        </w:rPr>
        <w:t>-комплексного благоустройства территорий, транспортного обслуживания населения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41DE">
        <w:rPr>
          <w:rFonts w:ascii="Times New Roman" w:hAnsi="Times New Roman"/>
          <w:sz w:val="28"/>
          <w:szCs w:val="28"/>
        </w:rPr>
        <w:t>42,3% от общего количества вопросов;</w:t>
      </w:r>
    </w:p>
    <w:p w:rsidR="000B4F52" w:rsidRPr="002441DE" w:rsidRDefault="000B4F52" w:rsidP="001E785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441DE">
        <w:rPr>
          <w:rFonts w:ascii="Times New Roman" w:hAnsi="Times New Roman"/>
          <w:sz w:val="28"/>
          <w:szCs w:val="28"/>
        </w:rPr>
        <w:t>-обращения с твердыми коммунальными отходами, теплоснабжения, водоснабжения, ремонта жилищного фонда и оплата ЖКК – 20,6%;</w:t>
      </w:r>
    </w:p>
    <w:p w:rsidR="000B4F52" w:rsidRPr="002441DE" w:rsidRDefault="000B4F52" w:rsidP="001E785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441DE">
        <w:rPr>
          <w:rFonts w:ascii="Times New Roman" w:hAnsi="Times New Roman"/>
          <w:sz w:val="28"/>
          <w:szCs w:val="28"/>
        </w:rPr>
        <w:t>-вопросы землепользования - 14,2%;</w:t>
      </w:r>
    </w:p>
    <w:p w:rsidR="000B4F52" w:rsidRPr="002441DE" w:rsidRDefault="000B4F52" w:rsidP="001E785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441DE">
        <w:rPr>
          <w:rFonts w:ascii="Times New Roman" w:hAnsi="Times New Roman"/>
          <w:sz w:val="28"/>
          <w:szCs w:val="28"/>
        </w:rPr>
        <w:t>-деятельности исполнительно-распорядительных органов местного самоуправления и его руководителей, полномочий органов местного самоуправления, государственные программы – 11,6%;</w:t>
      </w:r>
    </w:p>
    <w:p w:rsidR="000B4F52" w:rsidRPr="002441DE" w:rsidRDefault="000B4F52" w:rsidP="001E785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441DE">
        <w:rPr>
          <w:rFonts w:ascii="Times New Roman" w:hAnsi="Times New Roman"/>
          <w:sz w:val="28"/>
          <w:szCs w:val="28"/>
        </w:rPr>
        <w:t>-социальной сферы, социальное обеспечение, медицинское обслуживание сельских жителей - 9,7%.</w:t>
      </w:r>
    </w:p>
    <w:p w:rsidR="000B4F52" w:rsidRPr="00780005" w:rsidRDefault="000B4F52" w:rsidP="00E0308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B4F52" w:rsidRDefault="000B4F52" w:rsidP="009D7C3B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Показатель №38 «</w:t>
      </w:r>
      <w:r w:rsidRPr="009513FC">
        <w:rPr>
          <w:rFonts w:ascii="Times New Roman" w:hAnsi="Times New Roman"/>
          <w:sz w:val="28"/>
          <w:szCs w:val="28"/>
        </w:rPr>
        <w:t xml:space="preserve">Среднегодовая численность </w:t>
      </w:r>
      <w:r>
        <w:rPr>
          <w:rFonts w:ascii="Times New Roman" w:hAnsi="Times New Roman"/>
          <w:sz w:val="28"/>
          <w:szCs w:val="28"/>
        </w:rPr>
        <w:t>постоянного населения» составляет 31,7 чел. на 1 января 2020 года, наблюдается незначительное  снижение к уровню 2019 года на 2,8 %.</w:t>
      </w:r>
      <w:r w:rsidRPr="009513FC">
        <w:rPr>
          <w:rFonts w:ascii="Times New Roman" w:hAnsi="Times New Roman"/>
          <w:sz w:val="28"/>
          <w:szCs w:val="28"/>
        </w:rPr>
        <w:t xml:space="preserve"> </w:t>
      </w:r>
    </w:p>
    <w:p w:rsidR="000B4F52" w:rsidRPr="00236F52" w:rsidRDefault="000B4F52" w:rsidP="009D7C3B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</w:p>
    <w:p w:rsidR="000B4F52" w:rsidRPr="009513FC" w:rsidRDefault="000B4F52" w:rsidP="009D7C3B">
      <w:pPr>
        <w:shd w:val="clear" w:color="auto" w:fill="FFFFFF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9513FC">
        <w:rPr>
          <w:rFonts w:ascii="Times New Roman" w:hAnsi="Times New Roman"/>
          <w:b/>
          <w:sz w:val="28"/>
          <w:szCs w:val="28"/>
        </w:rPr>
        <w:t>Энергосбережение  и повышение энергетической  эффективности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0B4F52" w:rsidRDefault="000B4F52" w:rsidP="009D7C3B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0B4F52" w:rsidRPr="009E0751" w:rsidRDefault="000B4F52" w:rsidP="009D7C3B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Показатель</w:t>
      </w:r>
      <w:r w:rsidRPr="00040E5F">
        <w:rPr>
          <w:rFonts w:ascii="Times New Roman" w:hAnsi="Times New Roman"/>
          <w:b/>
          <w:sz w:val="28"/>
          <w:szCs w:val="28"/>
        </w:rPr>
        <w:t>№39</w:t>
      </w:r>
      <w:r>
        <w:rPr>
          <w:rFonts w:ascii="Times New Roman" w:hAnsi="Times New Roman"/>
          <w:b/>
          <w:sz w:val="28"/>
          <w:szCs w:val="28"/>
        </w:rPr>
        <w:t xml:space="preserve"> «Удельная величина потребления энергетических ресурсов в многоквартирных домах» в целом имеет положительную динамику снижения.</w:t>
      </w:r>
    </w:p>
    <w:p w:rsidR="000B4F52" w:rsidRPr="00B43705" w:rsidRDefault="000B4F52" w:rsidP="006A69A1">
      <w:pPr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</w:p>
    <w:p w:rsidR="000B4F52" w:rsidRPr="00881F4C" w:rsidRDefault="000B4F52" w:rsidP="00881F4C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  <w:r w:rsidRPr="00881F4C">
        <w:rPr>
          <w:rFonts w:ascii="Times New Roman" w:hAnsi="Times New Roman"/>
          <w:sz w:val="28"/>
          <w:szCs w:val="28"/>
        </w:rPr>
        <w:t>Показатель №40 Удельная величина потребления энергетических ресурсов бюджетными учреждениями, в целом имеет положительную динамику снижения.</w:t>
      </w:r>
    </w:p>
    <w:p w:rsidR="000B4F52" w:rsidRPr="00881F4C" w:rsidRDefault="000B4F52" w:rsidP="000A2A01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0B4F52" w:rsidRPr="00881F4C" w:rsidRDefault="000B4F52" w:rsidP="000A2A01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0B4F52" w:rsidRDefault="000B4F52" w:rsidP="000A2A01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0B4F52" w:rsidRDefault="000B4F52" w:rsidP="000A2A01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0B4F52" w:rsidRDefault="000B4F52" w:rsidP="000A2A01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0B4F52" w:rsidRDefault="000B4F52" w:rsidP="000A2A01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0B4F52" w:rsidRDefault="000B4F52" w:rsidP="000A2A01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0B4F52" w:rsidRDefault="000B4F52" w:rsidP="000A2A01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0B4F52" w:rsidRDefault="000B4F52" w:rsidP="000A2A01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0B4F52" w:rsidRDefault="000B4F52" w:rsidP="000A2A01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0B4F52" w:rsidRDefault="000B4F52" w:rsidP="000A2A01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0B4F52" w:rsidRDefault="000B4F52" w:rsidP="000A2A01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0B4F52" w:rsidRDefault="000B4F52" w:rsidP="000A2A01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0B4F52" w:rsidRDefault="000B4F52" w:rsidP="000A2A01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0B4F52" w:rsidRDefault="000B4F52" w:rsidP="000A2A01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0B4F52" w:rsidRDefault="000B4F52" w:rsidP="000A2A01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tt-RU"/>
        </w:rPr>
      </w:pPr>
    </w:p>
    <w:sectPr w:rsidR="000B4F52" w:rsidSect="001E7859">
      <w:footerReference w:type="default" r:id="rId7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F52" w:rsidRDefault="000B4F52" w:rsidP="009E0751">
      <w:pPr>
        <w:spacing w:after="0" w:line="240" w:lineRule="auto"/>
      </w:pPr>
      <w:r>
        <w:separator/>
      </w:r>
    </w:p>
  </w:endnote>
  <w:endnote w:type="continuationSeparator" w:id="0">
    <w:p w:rsidR="000B4F52" w:rsidRDefault="000B4F52" w:rsidP="009E0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F52" w:rsidRDefault="000B4F52">
    <w:pPr>
      <w:pStyle w:val="Footer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F52" w:rsidRDefault="000B4F52" w:rsidP="009E0751">
      <w:pPr>
        <w:spacing w:after="0" w:line="240" w:lineRule="auto"/>
      </w:pPr>
      <w:r>
        <w:separator/>
      </w:r>
    </w:p>
  </w:footnote>
  <w:footnote w:type="continuationSeparator" w:id="0">
    <w:p w:rsidR="000B4F52" w:rsidRDefault="000B4F52" w:rsidP="009E07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81BC6"/>
    <w:multiLevelType w:val="hybridMultilevel"/>
    <w:tmpl w:val="56FED1A4"/>
    <w:lvl w:ilvl="0" w:tplc="CC348F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5D2B1104"/>
    <w:multiLevelType w:val="hybridMultilevel"/>
    <w:tmpl w:val="E1D662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1D14"/>
    <w:rsid w:val="00004B1A"/>
    <w:rsid w:val="00010D98"/>
    <w:rsid w:val="00023734"/>
    <w:rsid w:val="00040E5F"/>
    <w:rsid w:val="00043D0A"/>
    <w:rsid w:val="0004489F"/>
    <w:rsid w:val="000756E5"/>
    <w:rsid w:val="000807AA"/>
    <w:rsid w:val="00084779"/>
    <w:rsid w:val="0008478C"/>
    <w:rsid w:val="000850E8"/>
    <w:rsid w:val="00092FC1"/>
    <w:rsid w:val="000A2A01"/>
    <w:rsid w:val="000B4F52"/>
    <w:rsid w:val="000C433D"/>
    <w:rsid w:val="000D7460"/>
    <w:rsid w:val="000F4452"/>
    <w:rsid w:val="000F6646"/>
    <w:rsid w:val="00102B5A"/>
    <w:rsid w:val="00113393"/>
    <w:rsid w:val="001339D8"/>
    <w:rsid w:val="001733FF"/>
    <w:rsid w:val="0017380C"/>
    <w:rsid w:val="00175C4A"/>
    <w:rsid w:val="00184E3D"/>
    <w:rsid w:val="00193720"/>
    <w:rsid w:val="00197996"/>
    <w:rsid w:val="001A3E1E"/>
    <w:rsid w:val="001A4888"/>
    <w:rsid w:val="001B3DD2"/>
    <w:rsid w:val="001B7D8C"/>
    <w:rsid w:val="001D5B0C"/>
    <w:rsid w:val="001D6AF0"/>
    <w:rsid w:val="001E12A5"/>
    <w:rsid w:val="001E7859"/>
    <w:rsid w:val="001F236B"/>
    <w:rsid w:val="001F40B0"/>
    <w:rsid w:val="001F7A77"/>
    <w:rsid w:val="00201D18"/>
    <w:rsid w:val="0021376F"/>
    <w:rsid w:val="0023018C"/>
    <w:rsid w:val="0023643D"/>
    <w:rsid w:val="00236F52"/>
    <w:rsid w:val="002441DE"/>
    <w:rsid w:val="00246905"/>
    <w:rsid w:val="00253E3C"/>
    <w:rsid w:val="00255E99"/>
    <w:rsid w:val="002739DD"/>
    <w:rsid w:val="00277F1D"/>
    <w:rsid w:val="00285BE0"/>
    <w:rsid w:val="002C7CDD"/>
    <w:rsid w:val="002D6201"/>
    <w:rsid w:val="002F1F03"/>
    <w:rsid w:val="002F7E58"/>
    <w:rsid w:val="00317B51"/>
    <w:rsid w:val="00321F39"/>
    <w:rsid w:val="003401D6"/>
    <w:rsid w:val="00341038"/>
    <w:rsid w:val="00342152"/>
    <w:rsid w:val="003504BC"/>
    <w:rsid w:val="0036304B"/>
    <w:rsid w:val="0036386E"/>
    <w:rsid w:val="0039373F"/>
    <w:rsid w:val="003B504E"/>
    <w:rsid w:val="003C32AF"/>
    <w:rsid w:val="003C3ADA"/>
    <w:rsid w:val="003C3E0D"/>
    <w:rsid w:val="003D1C34"/>
    <w:rsid w:val="003D1CF7"/>
    <w:rsid w:val="003F341E"/>
    <w:rsid w:val="003F4480"/>
    <w:rsid w:val="00404410"/>
    <w:rsid w:val="00417873"/>
    <w:rsid w:val="00422746"/>
    <w:rsid w:val="00434808"/>
    <w:rsid w:val="004531AE"/>
    <w:rsid w:val="00463BD7"/>
    <w:rsid w:val="00497429"/>
    <w:rsid w:val="004A0CF8"/>
    <w:rsid w:val="004A198C"/>
    <w:rsid w:val="004C0C83"/>
    <w:rsid w:val="004C7439"/>
    <w:rsid w:val="004D6FBE"/>
    <w:rsid w:val="004E05C3"/>
    <w:rsid w:val="004E186D"/>
    <w:rsid w:val="00501F5C"/>
    <w:rsid w:val="00523287"/>
    <w:rsid w:val="00533B3F"/>
    <w:rsid w:val="00551C98"/>
    <w:rsid w:val="0055446E"/>
    <w:rsid w:val="005573AF"/>
    <w:rsid w:val="00560FD6"/>
    <w:rsid w:val="005640C1"/>
    <w:rsid w:val="0057262A"/>
    <w:rsid w:val="005912DC"/>
    <w:rsid w:val="005979BE"/>
    <w:rsid w:val="005A2897"/>
    <w:rsid w:val="005C6941"/>
    <w:rsid w:val="005D4BFD"/>
    <w:rsid w:val="00617122"/>
    <w:rsid w:val="00646A51"/>
    <w:rsid w:val="00647777"/>
    <w:rsid w:val="00673B4E"/>
    <w:rsid w:val="00680698"/>
    <w:rsid w:val="00681580"/>
    <w:rsid w:val="006A4148"/>
    <w:rsid w:val="006A4D2E"/>
    <w:rsid w:val="006A69A1"/>
    <w:rsid w:val="006A741B"/>
    <w:rsid w:val="006C497F"/>
    <w:rsid w:val="006C5183"/>
    <w:rsid w:val="006D096B"/>
    <w:rsid w:val="006E2412"/>
    <w:rsid w:val="006E283B"/>
    <w:rsid w:val="006F7401"/>
    <w:rsid w:val="007143E1"/>
    <w:rsid w:val="00734011"/>
    <w:rsid w:val="007441A0"/>
    <w:rsid w:val="00763564"/>
    <w:rsid w:val="007741CA"/>
    <w:rsid w:val="00780005"/>
    <w:rsid w:val="007A5ED3"/>
    <w:rsid w:val="007B78F0"/>
    <w:rsid w:val="007C3B65"/>
    <w:rsid w:val="007C603E"/>
    <w:rsid w:val="007E4BE2"/>
    <w:rsid w:val="007F1539"/>
    <w:rsid w:val="00803D48"/>
    <w:rsid w:val="00806E29"/>
    <w:rsid w:val="00807206"/>
    <w:rsid w:val="00812992"/>
    <w:rsid w:val="00824441"/>
    <w:rsid w:val="008405E4"/>
    <w:rsid w:val="00866EA7"/>
    <w:rsid w:val="008727F3"/>
    <w:rsid w:val="00881F4C"/>
    <w:rsid w:val="00893386"/>
    <w:rsid w:val="008A1EB1"/>
    <w:rsid w:val="008A3A77"/>
    <w:rsid w:val="008A48BC"/>
    <w:rsid w:val="008C1D26"/>
    <w:rsid w:val="008C39BA"/>
    <w:rsid w:val="0090288C"/>
    <w:rsid w:val="0090321A"/>
    <w:rsid w:val="00903FFB"/>
    <w:rsid w:val="00911364"/>
    <w:rsid w:val="00915F26"/>
    <w:rsid w:val="009307E9"/>
    <w:rsid w:val="009513FC"/>
    <w:rsid w:val="00952836"/>
    <w:rsid w:val="00952C68"/>
    <w:rsid w:val="009625D8"/>
    <w:rsid w:val="00976133"/>
    <w:rsid w:val="009769D3"/>
    <w:rsid w:val="009A7FC7"/>
    <w:rsid w:val="009C20AA"/>
    <w:rsid w:val="009C5F03"/>
    <w:rsid w:val="009D0C32"/>
    <w:rsid w:val="009D7C3B"/>
    <w:rsid w:val="009E0751"/>
    <w:rsid w:val="009F7C5B"/>
    <w:rsid w:val="00A20182"/>
    <w:rsid w:val="00A213C2"/>
    <w:rsid w:val="00A51FFF"/>
    <w:rsid w:val="00A52CC7"/>
    <w:rsid w:val="00A614DB"/>
    <w:rsid w:val="00A62D5C"/>
    <w:rsid w:val="00A666A3"/>
    <w:rsid w:val="00A82A86"/>
    <w:rsid w:val="00A916F5"/>
    <w:rsid w:val="00A945BB"/>
    <w:rsid w:val="00A973A4"/>
    <w:rsid w:val="00AC5CE2"/>
    <w:rsid w:val="00AF10F8"/>
    <w:rsid w:val="00AF648A"/>
    <w:rsid w:val="00B000AD"/>
    <w:rsid w:val="00B1396F"/>
    <w:rsid w:val="00B13D51"/>
    <w:rsid w:val="00B25071"/>
    <w:rsid w:val="00B31D14"/>
    <w:rsid w:val="00B3626F"/>
    <w:rsid w:val="00B371BB"/>
    <w:rsid w:val="00B40D68"/>
    <w:rsid w:val="00B42E40"/>
    <w:rsid w:val="00B43705"/>
    <w:rsid w:val="00B45311"/>
    <w:rsid w:val="00B513C2"/>
    <w:rsid w:val="00B616AC"/>
    <w:rsid w:val="00B65D92"/>
    <w:rsid w:val="00B65FC6"/>
    <w:rsid w:val="00B77AA8"/>
    <w:rsid w:val="00BC62FD"/>
    <w:rsid w:val="00BD0910"/>
    <w:rsid w:val="00BD6092"/>
    <w:rsid w:val="00BF575C"/>
    <w:rsid w:val="00BF59C9"/>
    <w:rsid w:val="00C07826"/>
    <w:rsid w:val="00C147DD"/>
    <w:rsid w:val="00C21B36"/>
    <w:rsid w:val="00C31C57"/>
    <w:rsid w:val="00C51E99"/>
    <w:rsid w:val="00C57716"/>
    <w:rsid w:val="00C67F3F"/>
    <w:rsid w:val="00C774D7"/>
    <w:rsid w:val="00C9112A"/>
    <w:rsid w:val="00C95AFF"/>
    <w:rsid w:val="00C96F8C"/>
    <w:rsid w:val="00CA0FF3"/>
    <w:rsid w:val="00CA206C"/>
    <w:rsid w:val="00CA5EA7"/>
    <w:rsid w:val="00CA67AD"/>
    <w:rsid w:val="00CB3AA6"/>
    <w:rsid w:val="00CB5DEB"/>
    <w:rsid w:val="00CC3863"/>
    <w:rsid w:val="00CD2AB3"/>
    <w:rsid w:val="00CD2CF3"/>
    <w:rsid w:val="00CF177F"/>
    <w:rsid w:val="00CF3CBE"/>
    <w:rsid w:val="00CF5979"/>
    <w:rsid w:val="00D15271"/>
    <w:rsid w:val="00D42BE9"/>
    <w:rsid w:val="00D517FE"/>
    <w:rsid w:val="00D5631E"/>
    <w:rsid w:val="00D62F6C"/>
    <w:rsid w:val="00D67559"/>
    <w:rsid w:val="00D74346"/>
    <w:rsid w:val="00DD1584"/>
    <w:rsid w:val="00DE2E7E"/>
    <w:rsid w:val="00DE379D"/>
    <w:rsid w:val="00DF7555"/>
    <w:rsid w:val="00E0308C"/>
    <w:rsid w:val="00E07214"/>
    <w:rsid w:val="00E10653"/>
    <w:rsid w:val="00E17B0B"/>
    <w:rsid w:val="00E375AE"/>
    <w:rsid w:val="00E4761C"/>
    <w:rsid w:val="00E64453"/>
    <w:rsid w:val="00E73712"/>
    <w:rsid w:val="00E75E2F"/>
    <w:rsid w:val="00E77D4E"/>
    <w:rsid w:val="00E828AB"/>
    <w:rsid w:val="00E850FC"/>
    <w:rsid w:val="00E96848"/>
    <w:rsid w:val="00EA1C72"/>
    <w:rsid w:val="00EB7B5D"/>
    <w:rsid w:val="00EC0C47"/>
    <w:rsid w:val="00EE09B9"/>
    <w:rsid w:val="00EF342A"/>
    <w:rsid w:val="00F240C9"/>
    <w:rsid w:val="00F264C8"/>
    <w:rsid w:val="00F3098D"/>
    <w:rsid w:val="00F321FA"/>
    <w:rsid w:val="00F40001"/>
    <w:rsid w:val="00F4239F"/>
    <w:rsid w:val="00F45402"/>
    <w:rsid w:val="00F46889"/>
    <w:rsid w:val="00F577E4"/>
    <w:rsid w:val="00F6028D"/>
    <w:rsid w:val="00F81263"/>
    <w:rsid w:val="00F866E4"/>
    <w:rsid w:val="00FB09EE"/>
    <w:rsid w:val="00FF1AEB"/>
    <w:rsid w:val="00FF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AB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D620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04B1A"/>
    <w:pPr>
      <w:keepNext/>
      <w:spacing w:before="240" w:after="60"/>
      <w:outlineLvl w:val="3"/>
    </w:pPr>
    <w:rPr>
      <w:rFonts w:eastAsia="Times New Roman" w:cs="Calibri"/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D620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04B1A"/>
    <w:rPr>
      <w:rFonts w:ascii="Calibri" w:hAnsi="Calibri" w:cs="Calibri"/>
      <w:b/>
      <w:bCs/>
      <w:sz w:val="28"/>
      <w:szCs w:val="28"/>
      <w:lang w:eastAsia="ru-RU"/>
    </w:rPr>
  </w:style>
  <w:style w:type="paragraph" w:styleId="NormalWeb">
    <w:name w:val="Normal (Web)"/>
    <w:basedOn w:val="Normal"/>
    <w:uiPriority w:val="99"/>
    <w:rsid w:val="00B31D14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B31D14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B31D14"/>
    <w:rPr>
      <w:rFonts w:cs="Times New Roman"/>
    </w:rPr>
  </w:style>
  <w:style w:type="paragraph" w:styleId="NoSpacing">
    <w:name w:val="No Spacing"/>
    <w:link w:val="NoSpacingChar"/>
    <w:uiPriority w:val="99"/>
    <w:qFormat/>
    <w:rsid w:val="00B31D14"/>
    <w:rPr>
      <w:rFonts w:eastAsia="Times New Roman"/>
      <w:lang w:eastAsia="en-US"/>
    </w:rPr>
  </w:style>
  <w:style w:type="character" w:customStyle="1" w:styleId="NoSpacingChar">
    <w:name w:val="No Spacing Char"/>
    <w:link w:val="NoSpacing"/>
    <w:uiPriority w:val="99"/>
    <w:locked/>
    <w:rsid w:val="00B31D14"/>
    <w:rPr>
      <w:rFonts w:eastAsia="Times New Roman"/>
      <w:sz w:val="22"/>
      <w:lang w:val="ru-RU" w:eastAsia="en-US"/>
    </w:rPr>
  </w:style>
  <w:style w:type="paragraph" w:customStyle="1" w:styleId="Standard">
    <w:name w:val="Standard"/>
    <w:uiPriority w:val="99"/>
    <w:rsid w:val="00004B1A"/>
    <w:pPr>
      <w:widowControl w:val="0"/>
      <w:suppressAutoHyphens/>
      <w:textAlignment w:val="baseline"/>
    </w:pPr>
    <w:rPr>
      <w:rFonts w:ascii="Times New Roman" w:hAnsi="Times New Roman" w:cs="Tahoma"/>
      <w:kern w:val="1"/>
      <w:sz w:val="24"/>
      <w:szCs w:val="24"/>
      <w:lang w:val="de-DE" w:eastAsia="zh-CN" w:bidi="fa-IR"/>
    </w:rPr>
  </w:style>
  <w:style w:type="character" w:customStyle="1" w:styleId="StrongEmphasis">
    <w:name w:val="Strong Emphasis"/>
    <w:basedOn w:val="DefaultParagraphFont"/>
    <w:uiPriority w:val="99"/>
    <w:rsid w:val="00004B1A"/>
    <w:rPr>
      <w:rFonts w:cs="Times New Roman"/>
      <w:b/>
      <w:bCs/>
    </w:rPr>
  </w:style>
  <w:style w:type="paragraph" w:customStyle="1" w:styleId="21">
    <w:name w:val="Основной текст 21"/>
    <w:basedOn w:val="Normal"/>
    <w:link w:val="210"/>
    <w:uiPriority w:val="99"/>
    <w:rsid w:val="00004B1A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0">
    <w:name w:val="Основной текст 21 Знак"/>
    <w:basedOn w:val="DefaultParagraphFont"/>
    <w:link w:val="21"/>
    <w:uiPriority w:val="99"/>
    <w:locked/>
    <w:rsid w:val="00004B1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Содержимое таблицы"/>
    <w:basedOn w:val="Normal"/>
    <w:uiPriority w:val="99"/>
    <w:rsid w:val="000807AA"/>
    <w:pPr>
      <w:widowControl w:val="0"/>
      <w:suppressLineNumbers/>
      <w:suppressAutoHyphens/>
      <w:spacing w:after="0" w:line="240" w:lineRule="auto"/>
    </w:pPr>
    <w:rPr>
      <w:rFonts w:ascii="Times New Roman" w:hAnsi="Times New Roman" w:cs="Tahom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C51E99"/>
    <w:rPr>
      <w:rFonts w:cs="Times New Roman"/>
      <w:color w:val="0000FF"/>
      <w:u w:val="single"/>
    </w:rPr>
  </w:style>
  <w:style w:type="paragraph" w:styleId="ListParagraph">
    <w:name w:val="List Paragraph"/>
    <w:aliases w:val="Абзац списка основной,ПАРАГРАФ,Bullet List,FooterText,numbered,список 1,List_Paragraph,Multilevel para_II,List Paragraph1,List Paragraph-ExecSummary,Akapit z listą BS,Bullets,List Paragraph 1,References,Bullet"/>
    <w:basedOn w:val="Normal"/>
    <w:uiPriority w:val="99"/>
    <w:qFormat/>
    <w:rsid w:val="009C5F0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9E0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E075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E0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E0751"/>
    <w:rPr>
      <w:rFonts w:cs="Times New Roman"/>
    </w:rPr>
  </w:style>
  <w:style w:type="character" w:customStyle="1" w:styleId="a0">
    <w:name w:val="Основной текст_"/>
    <w:link w:val="1"/>
    <w:uiPriority w:val="99"/>
    <w:locked/>
    <w:rsid w:val="00501F5C"/>
    <w:rPr>
      <w:spacing w:val="2"/>
      <w:sz w:val="21"/>
      <w:shd w:val="clear" w:color="auto" w:fill="FFFFFF"/>
    </w:rPr>
  </w:style>
  <w:style w:type="paragraph" w:customStyle="1" w:styleId="1">
    <w:name w:val="Основной текст1"/>
    <w:basedOn w:val="Normal"/>
    <w:link w:val="a0"/>
    <w:uiPriority w:val="99"/>
    <w:rsid w:val="00501F5C"/>
    <w:pPr>
      <w:widowControl w:val="0"/>
      <w:shd w:val="clear" w:color="auto" w:fill="FFFFFF"/>
      <w:spacing w:before="120" w:after="0" w:line="259" w:lineRule="exact"/>
      <w:ind w:hanging="220"/>
      <w:jc w:val="both"/>
    </w:pPr>
    <w:rPr>
      <w:spacing w:val="2"/>
      <w:sz w:val="21"/>
      <w:szCs w:val="20"/>
      <w:shd w:val="clear" w:color="auto" w:fill="FFFFFF"/>
      <w:lang w:eastAsia="ru-RU"/>
    </w:rPr>
  </w:style>
  <w:style w:type="paragraph" w:customStyle="1" w:styleId="a1">
    <w:name w:val="МОй"/>
    <w:basedOn w:val="Normal"/>
    <w:link w:val="a2"/>
    <w:uiPriority w:val="99"/>
    <w:rsid w:val="00501F5C"/>
    <w:pPr>
      <w:spacing w:after="0" w:line="360" w:lineRule="auto"/>
      <w:ind w:firstLine="709"/>
      <w:contextualSpacing/>
      <w:jc w:val="both"/>
    </w:pPr>
    <w:rPr>
      <w:rFonts w:eastAsia="Times New Roman"/>
      <w:sz w:val="20"/>
      <w:szCs w:val="20"/>
      <w:lang w:eastAsia="zh-CN"/>
    </w:rPr>
  </w:style>
  <w:style w:type="character" w:customStyle="1" w:styleId="a2">
    <w:name w:val="МОй Знак"/>
    <w:link w:val="a1"/>
    <w:uiPriority w:val="99"/>
    <w:locked/>
    <w:rsid w:val="00501F5C"/>
    <w:rPr>
      <w:rFonts w:eastAsia="Times New Roman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44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2533</TotalTime>
  <Pages>10</Pages>
  <Words>2230</Words>
  <Characters>12711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УТВЕРЖДАЮ</dc:title>
  <dc:subject/>
  <dc:creator>ЛюдмилаАлександровна</dc:creator>
  <cp:keywords/>
  <dc:description/>
  <cp:lastModifiedBy>Econom</cp:lastModifiedBy>
  <cp:revision>81</cp:revision>
  <cp:lastPrinted>2019-04-30T07:03:00Z</cp:lastPrinted>
  <dcterms:created xsi:type="dcterms:W3CDTF">2018-04-24T13:20:00Z</dcterms:created>
  <dcterms:modified xsi:type="dcterms:W3CDTF">2021-04-29T13:25:00Z</dcterms:modified>
</cp:coreProperties>
</file>